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756C" w14:textId="77777777" w:rsidR="00670976" w:rsidRDefault="00670976">
      <w:pPr>
        <w:jc w:val="center"/>
        <w:rPr>
          <w:b/>
          <w:bCs/>
          <w:sz w:val="36"/>
          <w:szCs w:val="36"/>
        </w:rPr>
      </w:pPr>
    </w:p>
    <w:p w14:paraId="38F1F910" w14:textId="13DCF60C" w:rsidR="00670976" w:rsidRDefault="00396016" w:rsidP="00863AE4">
      <w:pPr>
        <w:jc w:val="center"/>
        <w:rPr>
          <w:rFonts w:cs="Times"/>
          <w:b/>
          <w:bCs/>
          <w:i/>
        </w:rPr>
      </w:pPr>
      <w:r>
        <w:rPr>
          <w:b/>
          <w:bCs/>
          <w:sz w:val="36"/>
          <w:szCs w:val="36"/>
        </w:rPr>
        <w:t>Záznam o stanovení předpokládané hodnoty</w:t>
      </w:r>
      <w:r w:rsidR="00863AE4">
        <w:rPr>
          <w:b/>
          <w:bCs/>
          <w:sz w:val="36"/>
          <w:szCs w:val="36"/>
        </w:rPr>
        <w:t xml:space="preserve"> </w:t>
      </w:r>
    </w:p>
    <w:p w14:paraId="35ECB268" w14:textId="77777777" w:rsidR="00670976" w:rsidRDefault="00670976">
      <w:pPr>
        <w:tabs>
          <w:tab w:val="left" w:pos="5108"/>
        </w:tabs>
        <w:jc w:val="center"/>
        <w:rPr>
          <w:b/>
          <w:bCs/>
          <w:sz w:val="36"/>
          <w:szCs w:val="36"/>
        </w:rPr>
      </w:pPr>
    </w:p>
    <w:p w14:paraId="54850038" w14:textId="25FE7D4A" w:rsidR="00670976" w:rsidRDefault="0039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</w:pPr>
      <w:r>
        <w:rPr>
          <w:b/>
          <w:bCs/>
        </w:rPr>
        <w:t>Zadavatel veřejné zakázky</w:t>
      </w:r>
      <w:r>
        <w:t xml:space="preserve">: </w:t>
      </w:r>
      <w:r>
        <w:tab/>
      </w:r>
      <w:r w:rsidR="00CE542D">
        <w:t xml:space="preserve">Centrum Rožmitál pod Třemšínem, </w:t>
      </w:r>
      <w:r w:rsidR="00863AE4">
        <w:t xml:space="preserve"> </w:t>
      </w:r>
    </w:p>
    <w:p w14:paraId="0D664647" w14:textId="5C8282F6" w:rsidR="00670976" w:rsidRDefault="0039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</w:pPr>
      <w:r>
        <w:rPr>
          <w:b/>
          <w:bCs/>
        </w:rPr>
        <w:t>Název odboru</w:t>
      </w:r>
      <w:r>
        <w:t xml:space="preserve">: </w:t>
      </w:r>
      <w:r>
        <w:tab/>
      </w:r>
    </w:p>
    <w:p w14:paraId="27A2D4C8" w14:textId="77777777" w:rsidR="00670976" w:rsidRDefault="00396016">
      <w:pPr>
        <w:tabs>
          <w:tab w:val="left" w:pos="2235"/>
          <w:tab w:val="left" w:pos="3828"/>
        </w:tabs>
        <w:spacing w:line="276" w:lineRule="auto"/>
        <w:ind w:left="4245" w:hanging="4245"/>
        <w:jc w:val="both"/>
        <w:rPr>
          <w:b/>
          <w:bCs/>
          <w:sz w:val="12"/>
        </w:rPr>
      </w:pPr>
      <w:r>
        <w:rPr>
          <w:b/>
          <w:bCs/>
          <w:sz w:val="12"/>
        </w:rPr>
        <w:tab/>
      </w:r>
    </w:p>
    <w:p w14:paraId="7D89308A" w14:textId="77777777" w:rsidR="00526872" w:rsidRDefault="00396016" w:rsidP="0052687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b/>
          <w:bCs/>
        </w:rPr>
        <w:t>Název veřejné zakázky:</w:t>
      </w:r>
      <w:r>
        <w:rPr>
          <w:b/>
          <w:bCs/>
        </w:rPr>
        <w:tab/>
      </w:r>
      <w:r w:rsidR="00526872">
        <w:rPr>
          <w:rFonts w:ascii="Arial" w:hAnsi="Arial" w:cs="Arial"/>
          <w:b/>
          <w:bCs/>
          <w:szCs w:val="28"/>
        </w:rPr>
        <w:t xml:space="preserve">„Projektová dokumentace a zajištění autorského dozoru ke stavbě </w:t>
      </w:r>
      <w:r w:rsidR="00526872">
        <w:rPr>
          <w:rFonts w:ascii="Arial" w:hAnsi="Arial" w:cs="Arial"/>
          <w:b/>
          <w:bCs/>
          <w:sz w:val="28"/>
          <w:szCs w:val="28"/>
        </w:rPr>
        <w:t>„</w:t>
      </w:r>
    </w:p>
    <w:p w14:paraId="13181F50" w14:textId="77777777" w:rsidR="00526872" w:rsidRDefault="00526872" w:rsidP="00526872">
      <w:pPr>
        <w:ind w:left="720"/>
        <w:jc w:val="center"/>
        <w:rPr>
          <w:rFonts w:ascii="Arial" w:hAnsi="Arial" w:cs="Arial"/>
          <w:b/>
          <w:bCs/>
          <w:sz w:val="32"/>
        </w:rPr>
      </w:pPr>
      <w:r>
        <w:rPr>
          <w:b/>
          <w:sz w:val="28"/>
        </w:rPr>
        <w:t>Výměna elektrorozvodů a rozvodů SLP Nový Pavilon IV – opakovaná výzva</w:t>
      </w:r>
    </w:p>
    <w:p w14:paraId="1D764003" w14:textId="6A093027" w:rsidR="00CE542D" w:rsidRDefault="00CE542D" w:rsidP="00CE542D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450CD7EC" w14:textId="1D12FC77" w:rsidR="00670976" w:rsidRDefault="00396016" w:rsidP="00526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</w:pPr>
      <w:r>
        <w:rPr>
          <w:b/>
          <w:bCs/>
        </w:rPr>
        <w:t xml:space="preserve">Druh veřejné </w:t>
      </w:r>
      <w:r w:rsidR="00BF4AD1">
        <w:rPr>
          <w:b/>
          <w:bCs/>
        </w:rPr>
        <w:t>zakázky:</w:t>
      </w:r>
      <w:r w:rsidR="00BF4AD1">
        <w:t xml:space="preserve"> </w:t>
      </w:r>
      <w:r w:rsidR="00BF4AD1">
        <w:tab/>
      </w:r>
      <w:r w:rsidRPr="00CE542D">
        <w:t>veřejná zakázka</w:t>
      </w:r>
      <w:r w:rsidRPr="00CE542D">
        <w:rPr>
          <w:iCs/>
        </w:rPr>
        <w:t xml:space="preserve"> na </w:t>
      </w:r>
      <w:r w:rsidR="00526872">
        <w:rPr>
          <w:iCs/>
        </w:rPr>
        <w:t>služby</w:t>
      </w:r>
    </w:p>
    <w:p w14:paraId="18C4446A" w14:textId="1454CCC0" w:rsidR="00670976" w:rsidRDefault="0039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  <w:bCs/>
        </w:rPr>
      </w:pPr>
      <w:r>
        <w:rPr>
          <w:b/>
          <w:bCs/>
        </w:rPr>
        <w:t>Předmět plnění veřejné zakázky:</w:t>
      </w:r>
      <w:r w:rsidR="00CE542D">
        <w:rPr>
          <w:b/>
          <w:bCs/>
        </w:rPr>
        <w:t xml:space="preserve"> </w:t>
      </w:r>
      <w:r w:rsidR="00526872">
        <w:rPr>
          <w:b/>
          <w:bCs/>
        </w:rPr>
        <w:t xml:space="preserve">projekt </w:t>
      </w:r>
      <w:r w:rsidR="00CE542D">
        <w:rPr>
          <w:b/>
          <w:bCs/>
        </w:rPr>
        <w:t>výměn</w:t>
      </w:r>
      <w:r w:rsidR="00526872">
        <w:rPr>
          <w:b/>
          <w:bCs/>
        </w:rPr>
        <w:t>y</w:t>
      </w:r>
      <w:r w:rsidR="00CE542D">
        <w:rPr>
          <w:b/>
          <w:bCs/>
        </w:rPr>
        <w:t xml:space="preserve"> staré elektroinstalace na Novým pavilonu Centra Rožmitál pod Třemšínem</w:t>
      </w:r>
    </w:p>
    <w:p w14:paraId="3C815B84" w14:textId="77777777" w:rsidR="00670976" w:rsidRDefault="00670976">
      <w:pPr>
        <w:ind w:left="4245" w:hanging="4245"/>
        <w:jc w:val="both"/>
        <w:rPr>
          <w:b/>
          <w:bCs/>
        </w:rPr>
      </w:pPr>
    </w:p>
    <w:p w14:paraId="3E90ECA7" w14:textId="25B870B4" w:rsidR="00863AE4" w:rsidRPr="001F3AB4" w:rsidRDefault="00396016" w:rsidP="00863AE4">
      <w:pPr>
        <w:tabs>
          <w:tab w:val="left" w:pos="2520"/>
        </w:tabs>
        <w:jc w:val="both"/>
        <w:rPr>
          <w:sz w:val="22"/>
          <w:szCs w:val="22"/>
        </w:rPr>
      </w:pPr>
      <w:r>
        <w:rPr>
          <w:b/>
          <w:bCs/>
        </w:rPr>
        <w:t xml:space="preserve">Datum: </w:t>
      </w:r>
    </w:p>
    <w:p w14:paraId="49A0BBF5" w14:textId="58D38E6B" w:rsidR="00670976" w:rsidRDefault="00670976">
      <w:pPr>
        <w:jc w:val="both"/>
        <w:rPr>
          <w:i/>
        </w:rPr>
      </w:pPr>
    </w:p>
    <w:p w14:paraId="772AF5C6" w14:textId="77777777" w:rsidR="00670976" w:rsidRDefault="00396016">
      <w:pPr>
        <w:pStyle w:val="Odstavecseseznamem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Předpokládaná hodnota</w:t>
      </w:r>
    </w:p>
    <w:p w14:paraId="4623AB69" w14:textId="77777777" w:rsidR="00670976" w:rsidRDefault="00670976">
      <w:pPr>
        <w:pStyle w:val="Odstavecseseznamem"/>
        <w:ind w:left="720"/>
        <w:jc w:val="both"/>
        <w:rPr>
          <w:b/>
          <w:bCs/>
        </w:rPr>
      </w:pPr>
    </w:p>
    <w:p w14:paraId="6173A5FF" w14:textId="2FC86DBA" w:rsidR="00670976" w:rsidRDefault="00396016">
      <w:pPr>
        <w:jc w:val="both"/>
        <w:rPr>
          <w:b/>
          <w:bCs/>
        </w:rPr>
      </w:pPr>
      <w:r>
        <w:rPr>
          <w:b/>
          <w:bCs/>
        </w:rPr>
        <w:t xml:space="preserve">Způsob stanovení předpokládané hodnoty: </w:t>
      </w:r>
    </w:p>
    <w:p w14:paraId="37264539" w14:textId="7F4B4DEE" w:rsidR="00CE542D" w:rsidRPr="005D3E15" w:rsidRDefault="00CE542D">
      <w:pPr>
        <w:jc w:val="both"/>
        <w:rPr>
          <w:b/>
          <w:bCs/>
        </w:rPr>
      </w:pPr>
      <w:r w:rsidRPr="005D3E15">
        <w:rPr>
          <w:b/>
          <w:bCs/>
        </w:rPr>
        <w:t>Byl pozván specialista na elektroinstalaci a výměnu rozvaděčů na Novém pavilonu Centra. Budova je postavena v roce 1982, elektroinstalace kromě malých úprav je původní. Budova je celá postavena z panelových bloků, elektrika je vedena v podlaze jednotlivých místnostech. Vzhledem k náročnosti výměny a nemožnosti vystěhování</w:t>
      </w:r>
      <w:r w:rsidR="005D3E15" w:rsidRPr="005D3E15">
        <w:rPr>
          <w:b/>
          <w:bCs/>
        </w:rPr>
        <w:t xml:space="preserve"> klientů na dobu výměny je výměna plánována na </w:t>
      </w:r>
      <w:proofErr w:type="gramStart"/>
      <w:r w:rsidR="005D3E15" w:rsidRPr="005D3E15">
        <w:rPr>
          <w:b/>
          <w:bCs/>
        </w:rPr>
        <w:t>6 – 8</w:t>
      </w:r>
      <w:proofErr w:type="gramEnd"/>
      <w:r w:rsidR="005D3E15" w:rsidRPr="005D3E15">
        <w:rPr>
          <w:b/>
          <w:bCs/>
        </w:rPr>
        <w:t xml:space="preserve"> měsíců dle nabídek jednotlivých firem. Dle sdělení specialistu a revizního technika je nutná výměna hlavního rozvaděče a 8 rozvaděčů na chodbách Nového pavilonu. Dále je nutno vyměnit 21 rozvaděčů na jednotlivých bytových jednotkách. </w:t>
      </w:r>
    </w:p>
    <w:p w14:paraId="3064D563" w14:textId="77777777" w:rsidR="005D3E15" w:rsidRPr="005D3E15" w:rsidRDefault="005D3E15" w:rsidP="005D3E15">
      <w:pPr>
        <w:jc w:val="both"/>
        <w:rPr>
          <w:b/>
        </w:rPr>
      </w:pPr>
      <w:r w:rsidRPr="005D3E15">
        <w:rPr>
          <w:b/>
        </w:rPr>
        <w:t xml:space="preserve">Předpokládá se rekonstrukce vždy po jedné obytné buňce, přičemž chodba i zbytek objektu musí být zajištěn proti prašnosti, hluku a zůstane obyvatelný a průchodný pro klienty Domova, kteří jsou mnohdy se sníženou pohybovou či rozlišovací schopností. </w:t>
      </w:r>
    </w:p>
    <w:p w14:paraId="06F998BA" w14:textId="38B996B7" w:rsidR="005D3E15" w:rsidRPr="005D3E15" w:rsidRDefault="005D3E15" w:rsidP="005D3E15">
      <w:pPr>
        <w:jc w:val="both"/>
        <w:rPr>
          <w:b/>
          <w:bCs/>
        </w:rPr>
      </w:pPr>
      <w:r w:rsidRPr="005D3E15">
        <w:rPr>
          <w:b/>
        </w:rPr>
        <w:tab/>
        <w:t xml:space="preserve">Veškeré náklady spojené s těmito provizorními zapojováními i dalšími opatřeními (plachty, stěny, pomocná a provizorní </w:t>
      </w:r>
      <w:r w:rsidR="00BF4AD1" w:rsidRPr="005D3E15">
        <w:rPr>
          <w:b/>
        </w:rPr>
        <w:t>vedení)</w:t>
      </w:r>
      <w:r w:rsidRPr="005D3E15">
        <w:rPr>
          <w:b/>
        </w:rPr>
        <w:t xml:space="preserve"> budou součástí dodávky a je potřeba je mít zohledněny v nabídkách. Provizorní vedení se předpokládá využívat i opakovaně.</w:t>
      </w:r>
    </w:p>
    <w:p w14:paraId="134CF89B" w14:textId="77777777" w:rsidR="00670976" w:rsidRDefault="00670976">
      <w:pPr>
        <w:jc w:val="both"/>
        <w:rPr>
          <w:bCs/>
          <w:i/>
        </w:rPr>
      </w:pPr>
    </w:p>
    <w:p w14:paraId="0AE9FBF9" w14:textId="77777777" w:rsidR="00670976" w:rsidRDefault="00396016">
      <w:pPr>
        <w:ind w:right="72"/>
        <w:jc w:val="both"/>
        <w:rPr>
          <w:b/>
          <w:bCs/>
        </w:rPr>
      </w:pPr>
      <w:r>
        <w:rPr>
          <w:b/>
          <w:bCs/>
        </w:rPr>
        <w:t xml:space="preserve">Způsob výpočtu: </w:t>
      </w:r>
    </w:p>
    <w:p w14:paraId="7DC74D03" w14:textId="143FAACF" w:rsidR="00670976" w:rsidRPr="00BF4AD1" w:rsidRDefault="00BF4AD1">
      <w:pPr>
        <w:jc w:val="both"/>
        <w:rPr>
          <w:b/>
          <w:bCs/>
        </w:rPr>
      </w:pPr>
      <w:r>
        <w:rPr>
          <w:b/>
          <w:bCs/>
        </w:rPr>
        <w:t xml:space="preserve">Základem výpočtu předpokládané ceny je potřeba elektromateriálu a zařizovacích předmětu včetně opatření provizorních v době stavebních </w:t>
      </w:r>
      <w:proofErr w:type="gramStart"/>
      <w:r>
        <w:rPr>
          <w:b/>
          <w:bCs/>
        </w:rPr>
        <w:t>prací..</w:t>
      </w:r>
      <w:proofErr w:type="gramEnd"/>
    </w:p>
    <w:p w14:paraId="61E255F6" w14:textId="77777777" w:rsidR="00670976" w:rsidRDefault="00670976">
      <w:pPr>
        <w:jc w:val="both"/>
        <w:rPr>
          <w:bCs/>
          <w:i/>
        </w:rPr>
      </w:pPr>
    </w:p>
    <w:p w14:paraId="4308B188" w14:textId="77777777" w:rsidR="00670976" w:rsidRDefault="0039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  <w:bCs/>
        </w:rPr>
      </w:pPr>
      <w:r>
        <w:rPr>
          <w:b/>
          <w:bCs/>
        </w:rPr>
        <w:t xml:space="preserve">Na základě výše uvedených údajů a informací stanovil zadavatel: </w:t>
      </w:r>
    </w:p>
    <w:p w14:paraId="3F8F8F37" w14:textId="77777777" w:rsidR="00670976" w:rsidRDefault="00670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  <w:bCs/>
        </w:rPr>
      </w:pPr>
    </w:p>
    <w:p w14:paraId="0175FE89" w14:textId="2F948F44" w:rsidR="00670976" w:rsidRDefault="0039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</w:rPr>
      </w:pPr>
      <w:r>
        <w:rPr>
          <w:b/>
          <w:bCs/>
        </w:rPr>
        <w:t xml:space="preserve">Předpokládanou hodnotu veřejné zakázky na </w:t>
      </w:r>
      <w:r w:rsidR="00526872">
        <w:rPr>
          <w:b/>
          <w:highlight w:val="yellow"/>
        </w:rPr>
        <w:t>450.000</w:t>
      </w:r>
      <w:r>
        <w:rPr>
          <w:i/>
        </w:rPr>
        <w:t xml:space="preserve"> </w:t>
      </w:r>
      <w:r>
        <w:rPr>
          <w:b/>
        </w:rPr>
        <w:t xml:space="preserve">bez DPH. </w:t>
      </w:r>
    </w:p>
    <w:p w14:paraId="26B2812C" w14:textId="77777777" w:rsidR="00670976" w:rsidRDefault="00670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</w:rPr>
      </w:pPr>
    </w:p>
    <w:p w14:paraId="29123FB1" w14:textId="4FD571EA" w:rsidR="00670976" w:rsidRPr="00BF4AD1" w:rsidRDefault="0039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</w:rPr>
      </w:pPr>
      <w:r>
        <w:rPr>
          <w:b/>
        </w:rPr>
        <w:t>Režim veřejné zakázky:</w:t>
      </w:r>
      <w:r>
        <w:t xml:space="preserve"> </w:t>
      </w:r>
      <w:r w:rsidR="00526872">
        <w:rPr>
          <w:b/>
          <w:iCs/>
        </w:rPr>
        <w:t>VZMR větší nákup</w:t>
      </w:r>
    </w:p>
    <w:p w14:paraId="3C222BF3" w14:textId="77777777" w:rsidR="00670976" w:rsidRDefault="0039601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5FCE5C8" w14:textId="77777777" w:rsidR="00670976" w:rsidRPr="00526BE3" w:rsidRDefault="00396016">
      <w:pPr>
        <w:pStyle w:val="Odstavecseseznamem"/>
        <w:numPr>
          <w:ilvl w:val="0"/>
          <w:numId w:val="2"/>
        </w:numPr>
        <w:jc w:val="both"/>
        <w:rPr>
          <w:b/>
          <w:bCs/>
          <w:u w:val="single"/>
        </w:rPr>
      </w:pPr>
      <w:r w:rsidRPr="00526BE3">
        <w:rPr>
          <w:b/>
          <w:bCs/>
          <w:u w:val="single"/>
        </w:rPr>
        <w:lastRenderedPageBreak/>
        <w:t>Průzkum trhu</w:t>
      </w:r>
    </w:p>
    <w:p w14:paraId="5207D304" w14:textId="77777777" w:rsidR="00670976" w:rsidRPr="00526BE3" w:rsidRDefault="00670976">
      <w:pPr>
        <w:pStyle w:val="Odstavecseseznamem"/>
        <w:ind w:left="1080"/>
        <w:jc w:val="both"/>
        <w:rPr>
          <w:b/>
          <w:bCs/>
        </w:rPr>
      </w:pPr>
    </w:p>
    <w:p w14:paraId="2926F2A5" w14:textId="67DBE4D3" w:rsidR="00670976" w:rsidRDefault="00526872">
      <w:pPr>
        <w:jc w:val="both"/>
        <w:rPr>
          <w:rFonts w:cs="Times"/>
        </w:rPr>
      </w:pPr>
      <w:r>
        <w:rPr>
          <w:rFonts w:cs="Times"/>
        </w:rPr>
        <w:t>ceny podle URS</w:t>
      </w:r>
      <w:bookmarkStart w:id="0" w:name="_GoBack"/>
      <w:bookmarkEnd w:id="0"/>
    </w:p>
    <w:p w14:paraId="6A4EAA18" w14:textId="77777777" w:rsidR="00670976" w:rsidRDefault="00670976">
      <w:pPr>
        <w:pStyle w:val="WW-Vchoz"/>
        <w:tabs>
          <w:tab w:val="left" w:pos="1080"/>
        </w:tabs>
        <w:jc w:val="both"/>
        <w:rPr>
          <w:iCs/>
        </w:rPr>
      </w:pPr>
    </w:p>
    <w:p w14:paraId="47018D6F" w14:textId="77777777" w:rsidR="00670976" w:rsidRPr="00526BE3" w:rsidRDefault="00396016" w:rsidP="1A9297CD">
      <w:pPr>
        <w:jc w:val="both"/>
        <w:rPr>
          <w:i/>
          <w:iCs/>
        </w:rPr>
      </w:pPr>
      <w:r w:rsidRPr="00526BE3">
        <w:t>Záznam vyhotovil a výpočet předpokládané hodnoty a průzkum trhu provedl:</w:t>
      </w:r>
      <w:r w:rsidRPr="00526BE3">
        <w:rPr>
          <w:i/>
          <w:iCs/>
        </w:rPr>
        <w:t xml:space="preserve"> jméno, podpis             </w:t>
      </w:r>
    </w:p>
    <w:p w14:paraId="219BB457" w14:textId="77777777" w:rsidR="00670976" w:rsidRPr="00526BE3" w:rsidRDefault="00670976"/>
    <w:p w14:paraId="6D623F5A" w14:textId="4A4EC498" w:rsidR="00670976" w:rsidRPr="00526BE3" w:rsidRDefault="00BF4AD1" w:rsidP="1A9297CD">
      <w:pPr>
        <w:rPr>
          <w:i/>
          <w:iCs/>
        </w:rPr>
      </w:pPr>
      <w:r w:rsidRPr="00526BE3">
        <w:t>Ředitel Centra</w:t>
      </w:r>
      <w:r w:rsidR="00396016" w:rsidRPr="00526BE3">
        <w:t xml:space="preserve"> (příkazce operace): </w:t>
      </w:r>
      <w:r w:rsidR="00396016" w:rsidRPr="00526BE3">
        <w:tab/>
      </w:r>
      <w:r w:rsidR="00396016" w:rsidRPr="00526BE3">
        <w:rPr>
          <w:i/>
          <w:iCs/>
        </w:rPr>
        <w:t>jméno, podpis</w:t>
      </w:r>
      <w:r w:rsidR="06892036" w:rsidRPr="00526BE3">
        <w:rPr>
          <w:i/>
          <w:iCs/>
        </w:rPr>
        <w:t xml:space="preserve"> (volitelné) </w:t>
      </w:r>
    </w:p>
    <w:p w14:paraId="6D25400D" w14:textId="77777777" w:rsidR="00670976" w:rsidRDefault="00670976">
      <w:pPr>
        <w:rPr>
          <w:b/>
          <w:bCs/>
        </w:rPr>
      </w:pPr>
    </w:p>
    <w:p w14:paraId="17B39ABF" w14:textId="77777777" w:rsidR="00670976" w:rsidRDefault="00670976">
      <w:pPr>
        <w:jc w:val="both"/>
        <w:rPr>
          <w:b/>
          <w:bCs/>
        </w:rPr>
      </w:pPr>
    </w:p>
    <w:p w14:paraId="60445891" w14:textId="77777777" w:rsidR="00670976" w:rsidRDefault="00670976"/>
    <w:sectPr w:rsidR="00670976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2FB86" w14:textId="77777777" w:rsidR="00B35E14" w:rsidRDefault="00B35E14">
      <w:r>
        <w:separator/>
      </w:r>
    </w:p>
  </w:endnote>
  <w:endnote w:type="continuationSeparator" w:id="0">
    <w:p w14:paraId="0142F5F1" w14:textId="77777777" w:rsidR="00B35E14" w:rsidRDefault="00B3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53D9E" w14:textId="4EA2300E" w:rsidR="00670976" w:rsidRDefault="00396016">
    <w:pPr>
      <w:pStyle w:val="Zpa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15711B" wp14:editId="32A10B4D">
              <wp:simplePos x="0" y="0"/>
              <wp:positionH relativeFrom="margin">
                <wp:posOffset>0</wp:posOffset>
              </wp:positionH>
              <wp:positionV relativeFrom="page">
                <wp:posOffset>9921240</wp:posOffset>
              </wp:positionV>
              <wp:extent cx="517525" cy="138430"/>
              <wp:effectExtent l="0" t="0" r="15875" b="1397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E7CE8" w14:textId="77777777" w:rsidR="00670976" w:rsidRDefault="00396016">
                          <w:pPr>
                            <w:spacing w:before="13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5711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781.2pt;width:40.75pt;height:10.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" filled="f" stroked="f">
              <v:textbox inset="0,0,0,0">
                <w:txbxContent>
                  <w:p w14:paraId="0CCE7CE8" w14:textId="77777777" w:rsidR="00670976" w:rsidRDefault="00396016">
                    <w:pPr>
                      <w:spacing w:before="13"/>
                      <w:ind w:left="4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z 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sz w:val="20"/>
        <w:szCs w:val="20"/>
      </w:rPr>
      <w:tab/>
      <w:t>Záznam o stanovení předpokládané hodnoty</w:t>
    </w:r>
    <w:r>
      <w:rPr>
        <w:sz w:val="20"/>
        <w:szCs w:val="20"/>
      </w:rPr>
      <w:tab/>
    </w:r>
  </w:p>
  <w:p w14:paraId="49F9C119" w14:textId="77777777" w:rsidR="00670976" w:rsidRDefault="006709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586" w14:textId="1708FB6D" w:rsidR="00670976" w:rsidRDefault="00396016">
    <w:pPr>
      <w:pStyle w:val="Zpa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C8BB8E" wp14:editId="73CFFA9E">
              <wp:simplePos x="0" y="0"/>
              <wp:positionH relativeFrom="margin">
                <wp:posOffset>5080</wp:posOffset>
              </wp:positionH>
              <wp:positionV relativeFrom="page">
                <wp:posOffset>10106025</wp:posOffset>
              </wp:positionV>
              <wp:extent cx="517525" cy="186055"/>
              <wp:effectExtent l="0" t="0" r="15875" b="444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6A99" w14:textId="77777777" w:rsidR="00670976" w:rsidRDefault="00396016">
                          <w:pPr>
                            <w:spacing w:before="13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8BB8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.4pt;margin-top:795.75pt;width:40.75pt;height:14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" filled="f" stroked="f">
              <v:textbox inset="0,0,0,0">
                <w:txbxContent>
                  <w:p w14:paraId="0C2D6A99" w14:textId="77777777" w:rsidR="00670976" w:rsidRDefault="00396016">
                    <w:pPr>
                      <w:spacing w:before="13"/>
                      <w:ind w:left="4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z 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sz w:val="20"/>
        <w:szCs w:val="20"/>
      </w:rPr>
      <w:tab/>
      <w:t>Záznam o stanovení předpokládané hodnoty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72F5E" w14:textId="77777777" w:rsidR="00B35E14" w:rsidRDefault="00B35E14">
      <w:r>
        <w:separator/>
      </w:r>
    </w:p>
  </w:footnote>
  <w:footnote w:type="continuationSeparator" w:id="0">
    <w:p w14:paraId="6794313D" w14:textId="77777777" w:rsidR="00B35E14" w:rsidRDefault="00B3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3072B" w14:textId="1B011E74" w:rsidR="00670976" w:rsidRDefault="00700936" w:rsidP="00700936">
    <w:pPr>
      <w:pStyle w:val="Zhlav"/>
      <w:tabs>
        <w:tab w:val="clear" w:pos="4536"/>
        <w:tab w:val="clear" w:pos="9072"/>
        <w:tab w:val="left" w:pos="2100"/>
      </w:tabs>
    </w:pPr>
    <w:r>
      <w:rPr>
        <w:noProof/>
      </w:rPr>
      <w:drawing>
        <wp:inline distT="0" distB="0" distL="0" distR="0" wp14:anchorId="14FA1146" wp14:editId="587568B2">
          <wp:extent cx="2847975" cy="552450"/>
          <wp:effectExtent l="0" t="0" r="9525" b="0"/>
          <wp:docPr id="18" name="Obrázek 1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8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0FCA"/>
    <w:multiLevelType w:val="hybridMultilevel"/>
    <w:tmpl w:val="08563D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C3C5E"/>
    <w:multiLevelType w:val="hybridMultilevel"/>
    <w:tmpl w:val="DD34B58E"/>
    <w:lvl w:ilvl="0" w:tplc="30F4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86F8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76"/>
    <w:rsid w:val="00102AAE"/>
    <w:rsid w:val="00257060"/>
    <w:rsid w:val="0033741C"/>
    <w:rsid w:val="00396016"/>
    <w:rsid w:val="0049592D"/>
    <w:rsid w:val="00526872"/>
    <w:rsid w:val="00526BE3"/>
    <w:rsid w:val="005D3E15"/>
    <w:rsid w:val="00670976"/>
    <w:rsid w:val="00700936"/>
    <w:rsid w:val="007B737C"/>
    <w:rsid w:val="007D044B"/>
    <w:rsid w:val="00842A9E"/>
    <w:rsid w:val="00863AE4"/>
    <w:rsid w:val="00986566"/>
    <w:rsid w:val="00B35E14"/>
    <w:rsid w:val="00BC03D2"/>
    <w:rsid w:val="00BF4AD1"/>
    <w:rsid w:val="00CE542D"/>
    <w:rsid w:val="06892036"/>
    <w:rsid w:val="1A9297CD"/>
    <w:rsid w:val="7228B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7DBB5"/>
  <w15:chartTrackingRefBased/>
  <w15:docId w15:val="{D9995B1A-4AF9-465D-A8AE-B1DF1322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WW-Vchoz">
    <w:name w:val="WW-Výchozí"/>
    <w:basedOn w:val="Normln"/>
    <w:pPr>
      <w:widowControl w:val="0"/>
      <w:suppressAutoHyphens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DBEA3-A6A4-49FF-BF11-1BBEFDE53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A6CC2-3543-431E-90B4-59F293072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D6714-80DD-495F-979C-8E15A8B18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1C64F4-F9A4-4A24-9BC3-0F817CAD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Jan Pecar</cp:lastModifiedBy>
  <cp:revision>4</cp:revision>
  <dcterms:created xsi:type="dcterms:W3CDTF">2025-09-25T09:55:00Z</dcterms:created>
  <dcterms:modified xsi:type="dcterms:W3CDTF">2026-02-11T12:06:00Z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