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D01D" w14:textId="03ADF9C4" w:rsidR="00F64E5B" w:rsidRPr="00D36D4C" w:rsidRDefault="0036681C" w:rsidP="00D36D4C">
      <w:pPr>
        <w:pStyle w:val="Nzev"/>
      </w:pPr>
      <w:r>
        <w:t>Č</w:t>
      </w:r>
      <w:r w:rsidRPr="0036681C">
        <w:t xml:space="preserve">estné prohlášení k prokázání </w:t>
      </w:r>
      <w:r w:rsidR="00566DA7">
        <w:t>technické       způsobilosti</w:t>
      </w:r>
    </w:p>
    <w:p w14:paraId="2CC675B2" w14:textId="77777777" w:rsidR="005F74DB" w:rsidRDefault="005F74DB" w:rsidP="00D36D4C"/>
    <w:p w14:paraId="2BB9127A" w14:textId="77777777" w:rsidR="00566756" w:rsidRDefault="00566756" w:rsidP="00D36D4C"/>
    <w:p w14:paraId="7500A7B2" w14:textId="77777777" w:rsidR="0076522C" w:rsidRDefault="0076522C" w:rsidP="0076522C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>
        <w:rPr>
          <w:rFonts w:cs="Calibri"/>
        </w:rPr>
        <w:t>Dodavatel</w:t>
      </w:r>
      <w:r>
        <w:rPr>
          <w:rFonts w:cs="Calibri"/>
        </w:rPr>
        <w:tab/>
      </w:r>
      <w:r>
        <w:rPr>
          <w:rFonts w:cs="Calibri"/>
          <w:highlight w:val="green"/>
        </w:rPr>
        <w:t>[DOPLNÍ DODAVATEL]</w:t>
      </w:r>
      <w:r>
        <w:rPr>
          <w:rFonts w:cs="Calibri"/>
        </w:rPr>
        <w:t xml:space="preserve">, </w:t>
      </w:r>
    </w:p>
    <w:p w14:paraId="352E6009" w14:textId="77777777" w:rsidR="0076522C" w:rsidRDefault="0076522C" w:rsidP="0076522C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>
        <w:rPr>
          <w:rFonts w:cs="Calibri"/>
        </w:rPr>
        <w:t>se sídlem</w:t>
      </w:r>
      <w:r>
        <w:rPr>
          <w:rFonts w:cs="Calibri"/>
        </w:rPr>
        <w:tab/>
      </w:r>
      <w:r>
        <w:rPr>
          <w:rFonts w:cs="Calibri"/>
          <w:highlight w:val="green"/>
        </w:rPr>
        <w:t>[DOPLNÍ DODAVATEL]</w:t>
      </w:r>
      <w:r>
        <w:rPr>
          <w:rFonts w:cs="Calibri"/>
        </w:rPr>
        <w:t xml:space="preserve">, </w:t>
      </w:r>
    </w:p>
    <w:p w14:paraId="4F270339" w14:textId="77777777" w:rsidR="0076522C" w:rsidRDefault="0076522C" w:rsidP="0076522C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>
        <w:rPr>
          <w:rFonts w:cs="Calibri"/>
        </w:rPr>
        <w:t>IČO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highlight w:val="green"/>
        </w:rPr>
        <w:t>[DOPLNÍ DODAVATEL]</w:t>
      </w:r>
      <w:r>
        <w:rPr>
          <w:rFonts w:cs="Calibri"/>
        </w:rPr>
        <w:t xml:space="preserve">, </w:t>
      </w:r>
    </w:p>
    <w:p w14:paraId="26B38643" w14:textId="77777777" w:rsidR="0076522C" w:rsidRDefault="0076522C" w:rsidP="0076522C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>
        <w:rPr>
          <w:rFonts w:cs="Calibri"/>
        </w:rPr>
        <w:t xml:space="preserve">zapsaný v obchodním rejstříku vedeném </w:t>
      </w:r>
      <w:r>
        <w:rPr>
          <w:rFonts w:cs="Calibri"/>
          <w:highlight w:val="green"/>
        </w:rPr>
        <w:t>[DOPLNÍ DODAVATEL]</w:t>
      </w:r>
      <w:r>
        <w:rPr>
          <w:rFonts w:cs="Calibri"/>
        </w:rPr>
        <w:t xml:space="preserve">, pod </w:t>
      </w:r>
      <w:proofErr w:type="spellStart"/>
      <w:r>
        <w:rPr>
          <w:rFonts w:cs="Calibri"/>
        </w:rPr>
        <w:t>sp</w:t>
      </w:r>
      <w:proofErr w:type="spellEnd"/>
      <w:r>
        <w:rPr>
          <w:rFonts w:cs="Calibri"/>
        </w:rPr>
        <w:t xml:space="preserve">. zn. </w:t>
      </w:r>
      <w:r>
        <w:rPr>
          <w:rFonts w:cs="Calibri"/>
          <w:highlight w:val="green"/>
        </w:rPr>
        <w:t>[DOPLNÍ DODAVATEL</w:t>
      </w:r>
      <w:proofErr w:type="gramStart"/>
      <w:r>
        <w:rPr>
          <w:rFonts w:cs="Calibri"/>
          <w:highlight w:val="green"/>
        </w:rPr>
        <w:t>]</w:t>
      </w:r>
      <w:r>
        <w:rPr>
          <w:rFonts w:cs="Calibri"/>
        </w:rPr>
        <w:t>,  tímto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ve vztahu k nadlimitní veřejné zakázce </w:t>
      </w:r>
      <w:r>
        <w:rPr>
          <w:rFonts w:cs="Calibri"/>
          <w:b/>
          <w:bCs/>
        </w:rPr>
        <w:t>„</w:t>
      </w:r>
      <w:r>
        <w:rPr>
          <w:b/>
          <w:bCs/>
          <w:sz w:val="24"/>
          <w:szCs w:val="24"/>
        </w:rPr>
        <w:t>Rámcová dohoda na revizorské čtečky</w:t>
      </w:r>
      <w:r>
        <w:rPr>
          <w:rFonts w:cs="Calibri"/>
          <w:b/>
          <w:bCs/>
        </w:rPr>
        <w:t>“</w:t>
      </w:r>
      <w:r>
        <w:rPr>
          <w:rFonts w:cs="Calibri"/>
        </w:rPr>
        <w:t xml:space="preserve"> (dále jen „</w:t>
      </w:r>
      <w:r>
        <w:rPr>
          <w:rFonts w:cs="Calibri"/>
          <w:b/>
          <w:bCs/>
        </w:rPr>
        <w:t>Veřejná zakázka</w:t>
      </w:r>
      <w:r>
        <w:rPr>
          <w:rFonts w:cs="Calibri"/>
        </w:rPr>
        <w:t xml:space="preserve">“), zadávané zadavatelem </w:t>
      </w:r>
      <w:r>
        <w:rPr>
          <w:rFonts w:cs="Calibri"/>
          <w:b/>
          <w:bCs/>
        </w:rPr>
        <w:t>Integrovaná doprava Středočeského kraje</w:t>
      </w:r>
      <w:r>
        <w:rPr>
          <w:rFonts w:cs="Calibri"/>
        </w:rPr>
        <w:t>, příspěvková organizace, se sídlem Sokolovská 100/94, Karlín, 186 00 Praha 8 (dále jen „</w:t>
      </w:r>
      <w:r>
        <w:rPr>
          <w:rFonts w:cs="Calibri"/>
          <w:b/>
          <w:bCs/>
        </w:rPr>
        <w:t>Zadavatel</w:t>
      </w:r>
      <w:r>
        <w:rPr>
          <w:rFonts w:cs="Calibri"/>
        </w:rPr>
        <w:t xml:space="preserve">“), </w:t>
      </w:r>
    </w:p>
    <w:p w14:paraId="062D4FF7" w14:textId="2E4E6F80" w:rsidR="0036681C" w:rsidRPr="0036681C" w:rsidRDefault="0036681C" w:rsidP="0074069A">
      <w:pPr>
        <w:jc w:val="both"/>
        <w:rPr>
          <w:b/>
          <w:bCs/>
        </w:rPr>
      </w:pPr>
      <w:r w:rsidRPr="0036681C">
        <w:rPr>
          <w:b/>
          <w:bCs/>
        </w:rPr>
        <w:t xml:space="preserve">za účelem prokázání Zadavatelem požadované technické kvalifikace dle zadávací dokumentace </w:t>
      </w:r>
      <w:r w:rsidRPr="004C282B">
        <w:rPr>
          <w:b/>
          <w:bCs/>
          <w:u w:val="single"/>
        </w:rPr>
        <w:t>čestně prohlašuje, že</w:t>
      </w:r>
      <w:r w:rsidRPr="0036681C">
        <w:rPr>
          <w:b/>
          <w:bCs/>
        </w:rPr>
        <w:t xml:space="preserve"> </w:t>
      </w:r>
      <w:r>
        <w:rPr>
          <w:b/>
          <w:bCs/>
        </w:rPr>
        <w:t>realizoval</w:t>
      </w:r>
      <w:r w:rsidRPr="0036681C">
        <w:rPr>
          <w:b/>
          <w:bCs/>
        </w:rPr>
        <w:t xml:space="preserve"> za posledních </w:t>
      </w:r>
      <w:r w:rsidR="00587D9E">
        <w:rPr>
          <w:b/>
          <w:bCs/>
        </w:rPr>
        <w:t>5</w:t>
      </w:r>
      <w:r w:rsidR="00587D9E" w:rsidRPr="0036681C">
        <w:rPr>
          <w:b/>
          <w:bCs/>
        </w:rPr>
        <w:t xml:space="preserve"> </w:t>
      </w:r>
      <w:r w:rsidR="00293A6B">
        <w:rPr>
          <w:b/>
          <w:bCs/>
        </w:rPr>
        <w:t>letech</w:t>
      </w:r>
      <w:r w:rsidRPr="0036681C">
        <w:rPr>
          <w:b/>
          <w:bCs/>
        </w:rPr>
        <w:t xml:space="preserve"> před zahájením </w:t>
      </w:r>
      <w:r w:rsidR="00587D9E">
        <w:rPr>
          <w:b/>
          <w:bCs/>
        </w:rPr>
        <w:t>zadávacího</w:t>
      </w:r>
      <w:r w:rsidR="00587D9E" w:rsidRPr="0036681C">
        <w:rPr>
          <w:b/>
          <w:bCs/>
        </w:rPr>
        <w:t xml:space="preserve"> </w:t>
      </w:r>
      <w:r w:rsidRPr="0036681C">
        <w:rPr>
          <w:b/>
          <w:bCs/>
        </w:rPr>
        <w:t xml:space="preserve">řízení </w:t>
      </w:r>
      <w:r w:rsidR="00293A6B">
        <w:rPr>
          <w:b/>
          <w:bCs/>
        </w:rPr>
        <w:t xml:space="preserve">minimálně </w:t>
      </w:r>
      <w:r w:rsidRPr="0036681C">
        <w:rPr>
          <w:b/>
          <w:bCs/>
        </w:rPr>
        <w:t>t</w:t>
      </w:r>
      <w:r>
        <w:rPr>
          <w:b/>
          <w:bCs/>
        </w:rPr>
        <w:t xml:space="preserve">yto </w:t>
      </w:r>
      <w:r w:rsidR="00293A6B">
        <w:rPr>
          <w:b/>
          <w:bCs/>
        </w:rPr>
        <w:t>2</w:t>
      </w:r>
      <w:r w:rsidRPr="0036681C">
        <w:rPr>
          <w:b/>
          <w:bCs/>
        </w:rPr>
        <w:t xml:space="preserve"> významn</w:t>
      </w:r>
      <w:r>
        <w:rPr>
          <w:b/>
          <w:bCs/>
        </w:rPr>
        <w:t>é</w:t>
      </w:r>
      <w:r w:rsidRPr="0036681C">
        <w:rPr>
          <w:b/>
          <w:bCs/>
        </w:rPr>
        <w:t xml:space="preserve"> </w:t>
      </w:r>
      <w:r w:rsidR="00587D9E">
        <w:rPr>
          <w:b/>
          <w:bCs/>
        </w:rPr>
        <w:t>dodávky</w:t>
      </w:r>
      <w:r w:rsidRPr="0036681C">
        <w:rPr>
          <w:b/>
          <w:bCs/>
        </w:rPr>
        <w:t>:</w:t>
      </w:r>
    </w:p>
    <w:p w14:paraId="7910122D" w14:textId="77777777" w:rsidR="00566756" w:rsidRDefault="00566756" w:rsidP="00D36D4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6681C" w:rsidRPr="00566756" w14:paraId="6876C4C1" w14:textId="77777777" w:rsidTr="00566756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A543D7" w14:textId="12183A73" w:rsidR="0036681C" w:rsidRPr="00566756" w:rsidRDefault="00566756" w:rsidP="0036681C">
            <w:pPr>
              <w:pStyle w:val="Bezmezer"/>
              <w:rPr>
                <w:b/>
                <w:bCs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 xml:space="preserve">Významná </w:t>
            </w:r>
            <w:r w:rsidR="00587D9E">
              <w:rPr>
                <w:b/>
                <w:bCs/>
                <w:lang w:eastAsia="cs-CZ"/>
              </w:rPr>
              <w:t>dodávka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1287754" w14:textId="0F9ADF82" w:rsidR="0036681C" w:rsidRPr="00566756" w:rsidRDefault="00566756" w:rsidP="0036681C">
            <w:pPr>
              <w:pStyle w:val="Bezmezer"/>
              <w:rPr>
                <w:b/>
                <w:bCs/>
                <w:highlight w:val="green"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# 1</w:t>
            </w:r>
          </w:p>
        </w:tc>
      </w:tr>
      <w:tr w:rsidR="0036681C" w:rsidRPr="0036681C" w14:paraId="746CE11D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07E4" w14:textId="13858EBD" w:rsidR="0036681C" w:rsidRPr="0036681C" w:rsidRDefault="00587D9E" w:rsidP="003668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Identifikace</w:t>
            </w:r>
            <w:r w:rsidR="00566756">
              <w:rPr>
                <w:lang w:eastAsia="cs-CZ"/>
              </w:rPr>
              <w:t xml:space="preserve"> </w:t>
            </w:r>
            <w:r w:rsidR="0036681C" w:rsidRPr="0036681C">
              <w:rPr>
                <w:lang w:eastAsia="cs-CZ"/>
              </w:rPr>
              <w:t>objednatele</w:t>
            </w:r>
            <w:r w:rsidR="00566756">
              <w:rPr>
                <w:lang w:eastAsia="cs-CZ"/>
              </w:rPr>
              <w:t xml:space="preserve"> významné </w:t>
            </w:r>
            <w:r>
              <w:rPr>
                <w:lang w:eastAsia="cs-CZ"/>
              </w:rPr>
              <w:t>dodávky</w:t>
            </w:r>
            <w:r w:rsidRPr="0036681C">
              <w:rPr>
                <w:lang w:eastAsia="cs-CZ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67F43" w14:textId="05C1ACA0" w:rsidR="0036681C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587D9E" w:rsidRPr="0036681C" w14:paraId="3A1F6F3B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E69" w14:textId="068749D5" w:rsidR="00587D9E" w:rsidRPr="0036681C" w:rsidRDefault="00587D9E" w:rsidP="003668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Počet dodaných kusů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7E16A" w14:textId="03088B65" w:rsidR="00587D9E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36681C" w:rsidRPr="0036681C" w14:paraId="516AE83C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0315" w14:textId="3CBDFB4D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Podrobná specifikace předmětu </w:t>
            </w:r>
            <w:r w:rsidR="00587D9E">
              <w:rPr>
                <w:lang w:eastAsia="cs-CZ"/>
              </w:rPr>
              <w:t>plnění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405B0" w14:textId="5F5E8CF7" w:rsidR="0036681C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36681C" w:rsidRPr="0036681C" w14:paraId="53487C03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2196" w14:textId="09351EB8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Doba a místo </w:t>
            </w:r>
            <w:r w:rsidR="00587D9E">
              <w:rPr>
                <w:lang w:eastAsia="cs-CZ"/>
              </w:rPr>
              <w:t>plnění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3E87" w14:textId="55E829D9" w:rsidR="0036681C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36681C" w:rsidRPr="0036681C" w14:paraId="210DBE7A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570F" w14:textId="25F23CDE" w:rsidR="0036681C" w:rsidRPr="0036681C" w:rsidRDefault="00587D9E" w:rsidP="0036681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Cena bez DPH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975D" w14:textId="5915D282" w:rsidR="0036681C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36681C" w:rsidRPr="0036681C" w14:paraId="45C688AE" w14:textId="77777777" w:rsidTr="00566756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132E" w14:textId="3539B878" w:rsidR="0036681C" w:rsidRPr="0036681C" w:rsidRDefault="0036681C" w:rsidP="0036681C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Kontaktní údaje </w:t>
            </w:r>
            <w:r w:rsidR="00587D9E">
              <w:t>objednatele nebo jeho zástupce pro účely ověření reference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A2C6" w14:textId="02669503" w:rsidR="0036681C" w:rsidRPr="00566756" w:rsidRDefault="00271808" w:rsidP="0036681C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</w:tbl>
    <w:p w14:paraId="368170F5" w14:textId="77777777" w:rsidR="00566756" w:rsidRDefault="00566756" w:rsidP="00D36D4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95FF0" w:rsidRPr="00566756" w14:paraId="0890D967" w14:textId="77777777" w:rsidTr="006D0F8F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9546E" w14:textId="77777777" w:rsidR="00E95FF0" w:rsidRPr="00566756" w:rsidRDefault="00E95FF0" w:rsidP="006D0F8F">
            <w:pPr>
              <w:pStyle w:val="Bezmezer"/>
              <w:rPr>
                <w:b/>
                <w:bCs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 xml:space="preserve">Významná </w:t>
            </w:r>
            <w:r>
              <w:rPr>
                <w:b/>
                <w:bCs/>
                <w:lang w:eastAsia="cs-CZ"/>
              </w:rPr>
              <w:t>dodávka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948CA97" w14:textId="2D5F1D76" w:rsidR="00E95FF0" w:rsidRPr="00566756" w:rsidRDefault="00E95FF0" w:rsidP="006D0F8F">
            <w:pPr>
              <w:pStyle w:val="Bezmezer"/>
              <w:rPr>
                <w:b/>
                <w:bCs/>
                <w:highlight w:val="green"/>
                <w:lang w:eastAsia="cs-CZ"/>
              </w:rPr>
            </w:pPr>
            <w:r w:rsidRPr="00566756">
              <w:rPr>
                <w:b/>
                <w:bCs/>
                <w:lang w:eastAsia="cs-CZ"/>
              </w:rPr>
              <w:t># </w:t>
            </w:r>
            <w:r>
              <w:rPr>
                <w:b/>
                <w:bCs/>
                <w:lang w:eastAsia="cs-CZ"/>
              </w:rPr>
              <w:t>2</w:t>
            </w:r>
          </w:p>
        </w:tc>
      </w:tr>
      <w:tr w:rsidR="00E95FF0" w:rsidRPr="0036681C" w14:paraId="5B04D227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F007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Identifikace </w:t>
            </w:r>
            <w:r w:rsidRPr="0036681C">
              <w:rPr>
                <w:lang w:eastAsia="cs-CZ"/>
              </w:rPr>
              <w:t>objednatele</w:t>
            </w:r>
            <w:r>
              <w:rPr>
                <w:lang w:eastAsia="cs-CZ"/>
              </w:rPr>
              <w:t xml:space="preserve"> významné dodávky</w:t>
            </w:r>
            <w:r w:rsidRPr="0036681C">
              <w:rPr>
                <w:lang w:eastAsia="cs-CZ"/>
              </w:rPr>
              <w:t xml:space="preserve">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50B72" w14:textId="308FDB53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E95FF0" w:rsidRPr="0036681C" w14:paraId="0E322ED6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5C8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Počet dodaných kusů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7DE8" w14:textId="569655D5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E95FF0" w:rsidRPr="0036681C" w14:paraId="47890C90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7D77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Podrobná specifikace předmětu </w:t>
            </w:r>
            <w:r>
              <w:rPr>
                <w:lang w:eastAsia="cs-CZ"/>
              </w:rPr>
              <w:t>plnění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2123" w14:textId="0F37F298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E95FF0" w:rsidRPr="0036681C" w14:paraId="34F5FF1E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C9C6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Doba a místo </w:t>
            </w:r>
            <w:r>
              <w:rPr>
                <w:lang w:eastAsia="cs-CZ"/>
              </w:rPr>
              <w:t>plnění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AC7C" w14:textId="167AF37F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E95FF0" w:rsidRPr="0036681C" w14:paraId="3611C0C8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F538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Cena bez DPH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3E95" w14:textId="64CAE0EC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  <w:tr w:rsidR="00E95FF0" w:rsidRPr="0036681C" w14:paraId="3F0DE5E6" w14:textId="77777777" w:rsidTr="006D0F8F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8CCD" w14:textId="77777777" w:rsidR="00E95FF0" w:rsidRPr="0036681C" w:rsidRDefault="00E95FF0" w:rsidP="006D0F8F">
            <w:pPr>
              <w:pStyle w:val="Bezmezer"/>
              <w:rPr>
                <w:lang w:eastAsia="cs-CZ"/>
              </w:rPr>
            </w:pPr>
            <w:r w:rsidRPr="0036681C">
              <w:rPr>
                <w:lang w:eastAsia="cs-CZ"/>
              </w:rPr>
              <w:t xml:space="preserve">Kontaktní údaje </w:t>
            </w:r>
            <w:r>
              <w:t>objednatele nebo jeho zástupce pro účely ověření reference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6DA4" w14:textId="41FD3DDE" w:rsidR="00E95FF0" w:rsidRPr="00566756" w:rsidRDefault="00271808" w:rsidP="006D0F8F">
            <w:pPr>
              <w:pStyle w:val="Bezmezer"/>
              <w:rPr>
                <w:highlight w:val="green"/>
                <w:lang w:eastAsia="cs-CZ"/>
              </w:rPr>
            </w:pPr>
            <w:r>
              <w:rPr>
                <w:rFonts w:cs="Calibri"/>
                <w:highlight w:val="green"/>
              </w:rPr>
              <w:t>[DOPLNÍ DODAVATEL]</w:t>
            </w:r>
          </w:p>
        </w:tc>
      </w:tr>
    </w:tbl>
    <w:p w14:paraId="6539D22E" w14:textId="346F3728" w:rsidR="00566756" w:rsidRPr="0074069A" w:rsidRDefault="00E95FF0" w:rsidP="00D36D4C">
      <w:pPr>
        <w:rPr>
          <w:i/>
          <w:iCs/>
        </w:rPr>
      </w:pPr>
      <w:r w:rsidRPr="0074069A">
        <w:rPr>
          <w:i/>
          <w:iCs/>
          <w:highlight w:val="green"/>
        </w:rPr>
        <w:t>(v případě vyššího počtu referenčních dodávek použije účastník tabulku tolikrát, kolikrát je potřeba; tento vysvětlující text účastník vymaže)</w:t>
      </w:r>
    </w:p>
    <w:p w14:paraId="6F2FC9B0" w14:textId="77777777" w:rsidR="00E95FF0" w:rsidRDefault="00E95FF0" w:rsidP="00566756">
      <w:bookmarkStart w:id="0" w:name="_Hlk163059142"/>
    </w:p>
    <w:p w14:paraId="1D66654D" w14:textId="0EE480D9" w:rsidR="00566756" w:rsidRDefault="00566756" w:rsidP="00566756">
      <w:r>
        <w:t xml:space="preserve">Za dodavatele: </w:t>
      </w:r>
    </w:p>
    <w:p w14:paraId="1862FBC0" w14:textId="0CFC4BAC" w:rsidR="00566756" w:rsidRDefault="00566756" w:rsidP="00566756">
      <w:r>
        <w:t xml:space="preserve">V </w:t>
      </w:r>
      <w:r w:rsidR="00271808">
        <w:rPr>
          <w:rFonts w:cs="Calibri"/>
          <w:highlight w:val="green"/>
        </w:rPr>
        <w:t>[DOPLNÍ DODAVATEL]</w:t>
      </w:r>
      <w:r>
        <w:rPr>
          <w:lang w:eastAsia="cs-CZ"/>
        </w:rPr>
        <w:t xml:space="preserve"> </w:t>
      </w:r>
      <w:r>
        <w:t xml:space="preserve">dne </w:t>
      </w:r>
      <w:r w:rsidR="00271808">
        <w:rPr>
          <w:rFonts w:cs="Calibri"/>
          <w:highlight w:val="green"/>
        </w:rPr>
        <w:t>[DOPLNÍ DODAVATEL]</w:t>
      </w:r>
    </w:p>
    <w:p w14:paraId="46A793ED" w14:textId="77777777" w:rsidR="00566756" w:rsidRDefault="00566756" w:rsidP="00566756"/>
    <w:p w14:paraId="1715B5F4" w14:textId="77777777" w:rsidR="00566756" w:rsidRDefault="00566756" w:rsidP="00566756"/>
    <w:p w14:paraId="089E7EA3" w14:textId="6112A195" w:rsidR="00566756" w:rsidRDefault="00566756" w:rsidP="00566756">
      <w:r>
        <w:t>…………………………………………………</w:t>
      </w:r>
    </w:p>
    <w:p w14:paraId="4B71AC3C" w14:textId="1A71D1B4" w:rsidR="00566756" w:rsidRDefault="00566756" w:rsidP="00566756">
      <w:r w:rsidRPr="00566756">
        <w:rPr>
          <w:highlight w:val="green"/>
          <w:lang w:eastAsia="cs-CZ"/>
        </w:rPr>
        <w:t xml:space="preserve">[DOPLNÍ </w:t>
      </w:r>
      <w:r w:rsidR="00271808">
        <w:rPr>
          <w:highlight w:val="green"/>
          <w:lang w:eastAsia="cs-CZ"/>
        </w:rPr>
        <w:t xml:space="preserve">DODAVATEL </w:t>
      </w:r>
      <w:r>
        <w:rPr>
          <w:highlight w:val="green"/>
          <w:lang w:eastAsia="cs-CZ"/>
        </w:rPr>
        <w:t>– jméno, příjmení, funkce</w:t>
      </w:r>
      <w:r w:rsidRPr="00566756">
        <w:rPr>
          <w:highlight w:val="green"/>
          <w:lang w:eastAsia="cs-CZ"/>
        </w:rPr>
        <w:t>]</w:t>
      </w:r>
      <w:bookmarkEnd w:id="0"/>
    </w:p>
    <w:sectPr w:rsidR="005667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009B" w14:textId="77777777" w:rsidR="002D3F22" w:rsidRDefault="002D3F22" w:rsidP="00AB27D5">
      <w:pPr>
        <w:spacing w:before="0"/>
      </w:pPr>
      <w:r>
        <w:separator/>
      </w:r>
    </w:p>
  </w:endnote>
  <w:endnote w:type="continuationSeparator" w:id="0">
    <w:p w14:paraId="74185256" w14:textId="77777777" w:rsidR="002D3F22" w:rsidRDefault="002D3F22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703DD056" w14:textId="137F6841" w:rsidR="00186722" w:rsidRDefault="00AB27D5" w:rsidP="00BD563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1895">
          <w:rPr>
            <w:noProof/>
          </w:rPr>
          <w:t>1</w:t>
        </w:r>
        <w:r>
          <w:fldChar w:fldCharType="end"/>
        </w:r>
        <w:r>
          <w:t xml:space="preserve"> / </w:t>
        </w:r>
        <w:fldSimple w:instr=" NUMPAGES   \* MERGEFORMAT ">
          <w:r w:rsidR="00ED189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9CEC" w14:textId="77777777" w:rsidR="002D3F22" w:rsidRDefault="002D3F22" w:rsidP="00AB27D5">
      <w:pPr>
        <w:spacing w:before="0"/>
      </w:pPr>
      <w:r>
        <w:separator/>
      </w:r>
    </w:p>
  </w:footnote>
  <w:footnote w:type="continuationSeparator" w:id="0">
    <w:p w14:paraId="3078532E" w14:textId="77777777" w:rsidR="002D3F22" w:rsidRDefault="002D3F22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94FE" w14:textId="3D594820" w:rsidR="00AB27D5" w:rsidRDefault="00AB27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BC7237" wp14:editId="6492EE5F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1036800" cy="676800"/>
          <wp:effectExtent l="0" t="0" r="0" b="0"/>
          <wp:wrapNone/>
          <wp:docPr id="1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grafický design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A75">
      <w:t xml:space="preserve">Příloha č. </w:t>
    </w:r>
    <w:r w:rsidR="006846AE">
      <w:t>5</w:t>
    </w:r>
    <w:r w:rsidR="00C36A75">
      <w:t xml:space="preserve"> – Čestné prohlášení – prokázání technické způsobilosti</w:t>
    </w:r>
  </w:p>
  <w:p w14:paraId="51418BB2" w14:textId="77777777" w:rsidR="00186722" w:rsidRDefault="001867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1E87"/>
    <w:multiLevelType w:val="hybridMultilevel"/>
    <w:tmpl w:val="977AC3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2609"/>
    <w:multiLevelType w:val="hybridMultilevel"/>
    <w:tmpl w:val="E1C0FE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06C"/>
    <w:multiLevelType w:val="hybridMultilevel"/>
    <w:tmpl w:val="8CC49E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D6FE565E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A1EF9"/>
    <w:multiLevelType w:val="hybridMultilevel"/>
    <w:tmpl w:val="B8FC18A2"/>
    <w:lvl w:ilvl="0" w:tplc="2848A19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779068">
    <w:abstractNumId w:val="14"/>
  </w:num>
  <w:num w:numId="2" w16cid:durableId="1521430089">
    <w:abstractNumId w:val="6"/>
  </w:num>
  <w:num w:numId="3" w16cid:durableId="1617172339">
    <w:abstractNumId w:val="13"/>
  </w:num>
  <w:num w:numId="4" w16cid:durableId="435102156">
    <w:abstractNumId w:val="2"/>
  </w:num>
  <w:num w:numId="5" w16cid:durableId="14692266">
    <w:abstractNumId w:val="1"/>
  </w:num>
  <w:num w:numId="6" w16cid:durableId="329408470">
    <w:abstractNumId w:val="3"/>
  </w:num>
  <w:num w:numId="7" w16cid:durableId="142624753">
    <w:abstractNumId w:val="5"/>
  </w:num>
  <w:num w:numId="8" w16cid:durableId="793330451">
    <w:abstractNumId w:val="9"/>
  </w:num>
  <w:num w:numId="9" w16cid:durableId="1732465938">
    <w:abstractNumId w:val="10"/>
  </w:num>
  <w:num w:numId="10" w16cid:durableId="1894199210">
    <w:abstractNumId w:val="11"/>
  </w:num>
  <w:num w:numId="11" w16cid:durableId="491944931">
    <w:abstractNumId w:val="8"/>
  </w:num>
  <w:num w:numId="12" w16cid:durableId="1189953615">
    <w:abstractNumId w:val="7"/>
  </w:num>
  <w:num w:numId="13" w16cid:durableId="968390177">
    <w:abstractNumId w:val="0"/>
  </w:num>
  <w:num w:numId="14" w16cid:durableId="557594441">
    <w:abstractNumId w:val="15"/>
  </w:num>
  <w:num w:numId="15" w16cid:durableId="538251357">
    <w:abstractNumId w:val="12"/>
  </w:num>
  <w:num w:numId="16" w16cid:durableId="996225499">
    <w:abstractNumId w:val="17"/>
  </w:num>
  <w:num w:numId="17" w16cid:durableId="1585607477">
    <w:abstractNumId w:val="18"/>
  </w:num>
  <w:num w:numId="18" w16cid:durableId="440074448">
    <w:abstractNumId w:val="4"/>
  </w:num>
  <w:num w:numId="19" w16cid:durableId="15902386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D5"/>
    <w:rsid w:val="00014520"/>
    <w:rsid w:val="00091883"/>
    <w:rsid w:val="000C5C8A"/>
    <w:rsid w:val="00163534"/>
    <w:rsid w:val="00186722"/>
    <w:rsid w:val="00271808"/>
    <w:rsid w:val="00293A6B"/>
    <w:rsid w:val="002D3F22"/>
    <w:rsid w:val="0036681C"/>
    <w:rsid w:val="003B51CD"/>
    <w:rsid w:val="003F60B2"/>
    <w:rsid w:val="0041193D"/>
    <w:rsid w:val="004169C7"/>
    <w:rsid w:val="00483472"/>
    <w:rsid w:val="00491093"/>
    <w:rsid w:val="004C282B"/>
    <w:rsid w:val="00523FFD"/>
    <w:rsid w:val="00566756"/>
    <w:rsid w:val="00566DA7"/>
    <w:rsid w:val="0057243E"/>
    <w:rsid w:val="00585E84"/>
    <w:rsid w:val="00587D9E"/>
    <w:rsid w:val="005E3066"/>
    <w:rsid w:val="005F74DB"/>
    <w:rsid w:val="006846AE"/>
    <w:rsid w:val="006B382E"/>
    <w:rsid w:val="006D3CDA"/>
    <w:rsid w:val="006D476E"/>
    <w:rsid w:val="0074069A"/>
    <w:rsid w:val="00761582"/>
    <w:rsid w:val="0076522C"/>
    <w:rsid w:val="00774230"/>
    <w:rsid w:val="007C4FDD"/>
    <w:rsid w:val="00920D7F"/>
    <w:rsid w:val="00A77802"/>
    <w:rsid w:val="00A82D63"/>
    <w:rsid w:val="00AB27D5"/>
    <w:rsid w:val="00AF4888"/>
    <w:rsid w:val="00B16CC8"/>
    <w:rsid w:val="00BD563B"/>
    <w:rsid w:val="00BD7888"/>
    <w:rsid w:val="00BE6A10"/>
    <w:rsid w:val="00C1395D"/>
    <w:rsid w:val="00C36A75"/>
    <w:rsid w:val="00D36D4C"/>
    <w:rsid w:val="00E95FF0"/>
    <w:rsid w:val="00ED1895"/>
    <w:rsid w:val="00EE5FB8"/>
    <w:rsid w:val="00F64E5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509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6D4C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D36D4C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D4C"/>
    <w:pPr>
      <w:numPr>
        <w:ilvl w:val="1"/>
      </w:numPr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D36D4C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D5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63B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63B"/>
    <w:rPr>
      <w:rFonts w:ascii="Calibri" w:hAnsi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6522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AE058-638B-4E11-AD29-0F41E19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2026-01-27T10:39:00Z</dcterms:created>
  <dcterms:modified xsi:type="dcterms:W3CDTF">2026-01-27T10:39:00Z</dcterms:modified>
</cp:coreProperties>
</file>