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EFEAF78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</w:t>
            </w:r>
            <w:r w:rsidR="006971C7">
              <w:t xml:space="preserve"> nadlimitní</w:t>
            </w:r>
            <w:r>
              <w:t xml:space="preserve"> veřejnou zakázku</w:t>
            </w:r>
            <w:r w:rsidR="00652FD9">
              <w:t xml:space="preserve"> 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6D509369" w14:textId="4B9E7518" w:rsidR="00761582" w:rsidRPr="00241F45" w:rsidRDefault="006971C7" w:rsidP="00761582">
            <w:pPr>
              <w:pStyle w:val="Podnadpis"/>
              <w:rPr>
                <w:sz w:val="22"/>
                <w:szCs w:val="22"/>
              </w:rPr>
            </w:pPr>
            <w:r>
              <w:rPr>
                <w:rFonts w:eastAsiaTheme="minorHAnsi" w:cstheme="minorBidi"/>
                <w:kern w:val="2"/>
                <w:sz w:val="22"/>
                <w:szCs w:val="22"/>
              </w:rPr>
              <w:t>Rámcová dohoda na revizorské čtečky</w:t>
            </w: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2DE44361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97C5" w14:textId="77777777" w:rsidR="0066231A" w:rsidRDefault="0066231A" w:rsidP="00AB27D5">
      <w:pPr>
        <w:spacing w:before="0"/>
      </w:pPr>
      <w:r>
        <w:separator/>
      </w:r>
    </w:p>
  </w:endnote>
  <w:endnote w:type="continuationSeparator" w:id="0">
    <w:p w14:paraId="66B5E624" w14:textId="77777777" w:rsidR="0066231A" w:rsidRDefault="0066231A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8DC" w14:textId="77777777" w:rsidR="0066231A" w:rsidRDefault="0066231A" w:rsidP="00AB27D5">
      <w:pPr>
        <w:spacing w:before="0"/>
      </w:pPr>
      <w:r>
        <w:separator/>
      </w:r>
    </w:p>
  </w:footnote>
  <w:footnote w:type="continuationSeparator" w:id="0">
    <w:p w14:paraId="73D24902" w14:textId="77777777" w:rsidR="0066231A" w:rsidRDefault="0066231A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187EC7"/>
    <w:rsid w:val="00241F45"/>
    <w:rsid w:val="002A7EA6"/>
    <w:rsid w:val="002D3582"/>
    <w:rsid w:val="002D72E6"/>
    <w:rsid w:val="00303017"/>
    <w:rsid w:val="003031D4"/>
    <w:rsid w:val="0033593E"/>
    <w:rsid w:val="003467F1"/>
    <w:rsid w:val="003611BE"/>
    <w:rsid w:val="00380E16"/>
    <w:rsid w:val="003F5DC6"/>
    <w:rsid w:val="0040778F"/>
    <w:rsid w:val="00426398"/>
    <w:rsid w:val="00436E49"/>
    <w:rsid w:val="00481D09"/>
    <w:rsid w:val="00483472"/>
    <w:rsid w:val="004B56F0"/>
    <w:rsid w:val="004C0508"/>
    <w:rsid w:val="005105B6"/>
    <w:rsid w:val="00565CBC"/>
    <w:rsid w:val="00574810"/>
    <w:rsid w:val="0057650D"/>
    <w:rsid w:val="0059748D"/>
    <w:rsid w:val="005E1182"/>
    <w:rsid w:val="00606827"/>
    <w:rsid w:val="00625C4F"/>
    <w:rsid w:val="00652FD9"/>
    <w:rsid w:val="006554A8"/>
    <w:rsid w:val="00656A92"/>
    <w:rsid w:val="0066231A"/>
    <w:rsid w:val="006971C7"/>
    <w:rsid w:val="006A63A7"/>
    <w:rsid w:val="006A7E8C"/>
    <w:rsid w:val="006B382E"/>
    <w:rsid w:val="006B78CD"/>
    <w:rsid w:val="006D5623"/>
    <w:rsid w:val="00751C3C"/>
    <w:rsid w:val="00761582"/>
    <w:rsid w:val="0078436B"/>
    <w:rsid w:val="007C4FDD"/>
    <w:rsid w:val="007F1373"/>
    <w:rsid w:val="0080060F"/>
    <w:rsid w:val="00881A30"/>
    <w:rsid w:val="008C6363"/>
    <w:rsid w:val="00953BB6"/>
    <w:rsid w:val="009805C2"/>
    <w:rsid w:val="00A14EE2"/>
    <w:rsid w:val="00A4438F"/>
    <w:rsid w:val="00A56F70"/>
    <w:rsid w:val="00A766AA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442D8"/>
    <w:rsid w:val="00B92530"/>
    <w:rsid w:val="00BB4B62"/>
    <w:rsid w:val="00BD7888"/>
    <w:rsid w:val="00C00AD6"/>
    <w:rsid w:val="00C2160E"/>
    <w:rsid w:val="00C359ED"/>
    <w:rsid w:val="00C6650D"/>
    <w:rsid w:val="00C67707"/>
    <w:rsid w:val="00CB6452"/>
    <w:rsid w:val="00CD6155"/>
    <w:rsid w:val="00CD7080"/>
    <w:rsid w:val="00CE1C87"/>
    <w:rsid w:val="00D07024"/>
    <w:rsid w:val="00D14A85"/>
    <w:rsid w:val="00D4694C"/>
    <w:rsid w:val="00D55CBD"/>
    <w:rsid w:val="00D73EE5"/>
    <w:rsid w:val="00D870F5"/>
    <w:rsid w:val="00DB33B0"/>
    <w:rsid w:val="00DB3684"/>
    <w:rsid w:val="00DC56DA"/>
    <w:rsid w:val="00DE02DF"/>
    <w:rsid w:val="00E111BB"/>
    <w:rsid w:val="00E16D4E"/>
    <w:rsid w:val="00E300C4"/>
    <w:rsid w:val="00E4762D"/>
    <w:rsid w:val="00E76D43"/>
    <w:rsid w:val="00EA0D57"/>
    <w:rsid w:val="00EC4023"/>
    <w:rsid w:val="00EC6041"/>
    <w:rsid w:val="00ED7AED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509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styleId="Revize">
    <w:name w:val="Revision"/>
    <w:hidden/>
    <w:uiPriority w:val="99"/>
    <w:semiHidden/>
    <w:rsid w:val="006971C7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772</Characters>
  <Application>Microsoft Office Word</Application>
  <DocSecurity>0</DocSecurity>
  <Lines>64</Lines>
  <Paragraphs>42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2026-01-27T10:34:00Z</dcterms:created>
  <dcterms:modified xsi:type="dcterms:W3CDTF">2026-01-27T10:35:00Z</dcterms:modified>
</cp:coreProperties>
</file>