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5DB223D"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C910B0">
        <w:rPr>
          <w:b/>
          <w:sz w:val="22"/>
          <w:szCs w:val="22"/>
        </w:rPr>
        <w:t>11</w:t>
      </w:r>
      <w:r w:rsidR="00535894">
        <w:rPr>
          <w:b/>
          <w:sz w:val="22"/>
          <w:szCs w:val="22"/>
        </w:rPr>
        <w:t xml:space="preserve">817 Dolní </w:t>
      </w:r>
      <w:proofErr w:type="gramStart"/>
      <w:r w:rsidR="00535894">
        <w:rPr>
          <w:b/>
          <w:sz w:val="22"/>
          <w:szCs w:val="22"/>
        </w:rPr>
        <w:t>Hbity - Luhy</w:t>
      </w:r>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156EBA33"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535894">
        <w:rPr>
          <w:b/>
          <w:sz w:val="22"/>
          <w:szCs w:val="22"/>
        </w:rPr>
        <w:t xml:space="preserve">42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602FC11"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Benešov</w:t>
      </w:r>
      <w:r w:rsidR="00B6640E" w:rsidRPr="00664924">
        <w:rPr>
          <w:sz w:val="22"/>
          <w:szCs w:val="22"/>
        </w:rPr>
        <w:t>:</w:t>
      </w:r>
    </w:p>
    <w:p w14:paraId="431AF4D6" w14:textId="36BC61BB"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Jiří Brzoň</w:t>
      </w:r>
    </w:p>
    <w:p w14:paraId="7C2F8F34" w14:textId="50BA4B78"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C910B0" w:rsidRPr="00082442">
          <w:rPr>
            <w:rStyle w:val="Hypertextovodkaz"/>
            <w:sz w:val="22"/>
            <w:szCs w:val="22"/>
          </w:rPr>
          <w:t>jiri.brzon</w:t>
        </w:r>
        <w:r w:rsidR="00C910B0" w:rsidRPr="00082442">
          <w:rPr>
            <w:rStyle w:val="Hypertextovodkaz"/>
            <w:sz w:val="22"/>
            <w:szCs w:val="22"/>
            <w:lang w:val="en-US"/>
          </w:rPr>
          <w:t>@</w:t>
        </w:r>
        <w:r w:rsidR="00C910B0" w:rsidRPr="00082442">
          <w:rPr>
            <w:rStyle w:val="Hypertextovodkaz"/>
            <w:sz w:val="22"/>
            <w:szCs w:val="22"/>
          </w:rPr>
          <w:t>ksus.cz</w:t>
        </w:r>
      </w:hyperlink>
    </w:p>
    <w:p w14:paraId="4795B972" w14:textId="01DCF8F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601 571 016</w:t>
      </w:r>
    </w:p>
    <w:p w14:paraId="0785D04F" w14:textId="77777777" w:rsidR="00321B62" w:rsidRDefault="00321B62" w:rsidP="00B6640E">
      <w:pPr>
        <w:pStyle w:val="Textodst1sl"/>
        <w:numPr>
          <w:ilvl w:val="0"/>
          <w:numId w:val="0"/>
        </w:numPr>
        <w:ind w:left="709"/>
        <w:rPr>
          <w:sz w:val="22"/>
          <w:szCs w:val="22"/>
        </w:rPr>
      </w:pPr>
    </w:p>
    <w:p w14:paraId="3742D996" w14:textId="52667E25"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Benešov</w:t>
      </w:r>
      <w:r>
        <w:rPr>
          <w:sz w:val="22"/>
          <w:szCs w:val="22"/>
        </w:rPr>
        <w:t>:</w:t>
      </w:r>
    </w:p>
    <w:p w14:paraId="37B2E9BC" w14:textId="69F156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Bc. Milan Jonszta</w:t>
      </w:r>
    </w:p>
    <w:p w14:paraId="65BD994D" w14:textId="64A5EFFB"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C910B0" w:rsidRPr="00082442">
          <w:rPr>
            <w:rStyle w:val="Hypertextovodkaz"/>
            <w:sz w:val="22"/>
            <w:szCs w:val="22"/>
          </w:rPr>
          <w:t>milan.jonszta</w:t>
        </w:r>
        <w:r w:rsidR="00C910B0" w:rsidRPr="00082442">
          <w:rPr>
            <w:rStyle w:val="Hypertextovodkaz"/>
            <w:sz w:val="22"/>
            <w:szCs w:val="22"/>
            <w:lang w:val="en-US"/>
          </w:rPr>
          <w:t>@</w:t>
        </w:r>
        <w:r w:rsidR="00C910B0" w:rsidRPr="00082442">
          <w:rPr>
            <w:rStyle w:val="Hypertextovodkaz"/>
            <w:sz w:val="22"/>
            <w:szCs w:val="22"/>
          </w:rPr>
          <w:t>ksus.cz</w:t>
        </w:r>
      </w:hyperlink>
    </w:p>
    <w:p w14:paraId="35AF0E2B" w14:textId="3CAB640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602 436 864</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77D979C6" w:rsidR="00B6640E" w:rsidRPr="00CC6E13" w:rsidRDefault="00381E60" w:rsidP="00B6640E">
      <w:pPr>
        <w:pStyle w:val="Textodst1sl"/>
        <w:numPr>
          <w:ilvl w:val="0"/>
          <w:numId w:val="0"/>
        </w:numPr>
        <w:ind w:left="2127"/>
        <w:rPr>
          <w:sz w:val="22"/>
          <w:szCs w:val="22"/>
        </w:rPr>
      </w:pPr>
      <w:r>
        <w:rPr>
          <w:sz w:val="22"/>
          <w:szCs w:val="22"/>
        </w:rPr>
        <w:t>Petr Vašek</w:t>
      </w:r>
      <w:r w:rsidR="00B6640E" w:rsidRPr="00CC6E13">
        <w:rPr>
          <w:sz w:val="22"/>
          <w:szCs w:val="22"/>
        </w:rPr>
        <w:t xml:space="preserve">, </w:t>
      </w:r>
    </w:p>
    <w:p w14:paraId="0943C6B8" w14:textId="0D45536D" w:rsidR="00B6640E" w:rsidRPr="00CC6E13" w:rsidRDefault="00381E60" w:rsidP="00B6640E">
      <w:pPr>
        <w:pStyle w:val="Textodst1sl"/>
        <w:numPr>
          <w:ilvl w:val="0"/>
          <w:numId w:val="0"/>
        </w:numPr>
        <w:ind w:left="2127"/>
        <w:rPr>
          <w:sz w:val="22"/>
          <w:szCs w:val="22"/>
        </w:rPr>
      </w:pPr>
      <w:hyperlink r:id="rId17" w:history="1">
        <w:r w:rsidRPr="00C10A45">
          <w:rPr>
            <w:rStyle w:val="Hypertextovodkaz"/>
            <w:sz w:val="22"/>
            <w:szCs w:val="22"/>
          </w:rPr>
          <w:t>petr.vasek@ksus.cz</w:t>
        </w:r>
      </w:hyperlink>
      <w:r w:rsidR="00B6640E" w:rsidRPr="00CC6E13">
        <w:rPr>
          <w:sz w:val="22"/>
          <w:szCs w:val="22"/>
        </w:rPr>
        <w:t xml:space="preserve"> </w:t>
      </w:r>
    </w:p>
    <w:p w14:paraId="082B48C7" w14:textId="4FD37125" w:rsidR="00B6640E" w:rsidRDefault="00BA027E" w:rsidP="00B6640E">
      <w:pPr>
        <w:pStyle w:val="Textodst1sl"/>
        <w:numPr>
          <w:ilvl w:val="0"/>
          <w:numId w:val="0"/>
        </w:numPr>
        <w:ind w:left="2127"/>
        <w:rPr>
          <w:sz w:val="22"/>
          <w:szCs w:val="22"/>
        </w:rPr>
      </w:pPr>
      <w:r>
        <w:rPr>
          <w:sz w:val="22"/>
          <w:szCs w:val="22"/>
        </w:rPr>
        <w:t>60</w:t>
      </w:r>
      <w:r w:rsidR="00C910B0">
        <w:rPr>
          <w:sz w:val="22"/>
          <w:szCs w:val="22"/>
        </w:rPr>
        <w:t>2</w:t>
      </w:r>
      <w:r w:rsidR="00381E60">
        <w:rPr>
          <w:sz w:val="22"/>
          <w:szCs w:val="22"/>
        </w:rPr>
        <w:t> 577 672</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56D5B2EC" w:rsidR="00B6640E" w:rsidRPr="009607E9" w:rsidRDefault="00381E60" w:rsidP="00B6640E">
      <w:pPr>
        <w:pStyle w:val="Textodst1sl"/>
        <w:numPr>
          <w:ilvl w:val="0"/>
          <w:numId w:val="0"/>
        </w:numPr>
        <w:ind w:left="2127"/>
        <w:rPr>
          <w:sz w:val="22"/>
          <w:szCs w:val="22"/>
        </w:rPr>
      </w:pPr>
      <w:r>
        <w:rPr>
          <w:sz w:val="22"/>
          <w:szCs w:val="22"/>
        </w:rPr>
        <w:t>Alena Papežová</w:t>
      </w:r>
      <w:r w:rsidR="00B6640E" w:rsidRPr="009607E9">
        <w:rPr>
          <w:sz w:val="22"/>
          <w:szCs w:val="22"/>
        </w:rPr>
        <w:t xml:space="preserve">, </w:t>
      </w:r>
    </w:p>
    <w:p w14:paraId="1B1DCA29" w14:textId="4A17B410" w:rsidR="00B6640E" w:rsidRPr="009607E9" w:rsidRDefault="00381E60" w:rsidP="00B6640E">
      <w:pPr>
        <w:pStyle w:val="Textodst1sl"/>
        <w:numPr>
          <w:ilvl w:val="0"/>
          <w:numId w:val="0"/>
        </w:numPr>
        <w:ind w:left="2127"/>
        <w:rPr>
          <w:sz w:val="22"/>
          <w:szCs w:val="22"/>
        </w:rPr>
      </w:pPr>
      <w:hyperlink r:id="rId18" w:history="1">
        <w:r w:rsidRPr="00C10A45">
          <w:rPr>
            <w:rStyle w:val="Hypertextovodkaz"/>
            <w:sz w:val="22"/>
            <w:szCs w:val="22"/>
          </w:rPr>
          <w:t>alena.papezova@ksus.cz</w:t>
        </w:r>
      </w:hyperlink>
      <w:r w:rsidR="00B6640E" w:rsidRPr="009607E9">
        <w:rPr>
          <w:sz w:val="22"/>
          <w:szCs w:val="22"/>
        </w:rPr>
        <w:t xml:space="preserve">, </w:t>
      </w:r>
    </w:p>
    <w:p w14:paraId="60E14ED3" w14:textId="5F51BE7E" w:rsidR="00B6640E" w:rsidRPr="009607E9" w:rsidRDefault="00381E60" w:rsidP="00B6640E">
      <w:pPr>
        <w:pStyle w:val="Textodst1sl"/>
        <w:numPr>
          <w:ilvl w:val="0"/>
          <w:numId w:val="0"/>
        </w:numPr>
        <w:ind w:left="2127"/>
        <w:rPr>
          <w:sz w:val="22"/>
          <w:szCs w:val="22"/>
        </w:rPr>
      </w:pPr>
      <w:r>
        <w:rPr>
          <w:sz w:val="22"/>
          <w:szCs w:val="22"/>
        </w:rPr>
        <w:t>702 253 367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118E"/>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81E60"/>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10993"/>
    <w:rsid w:val="00523098"/>
    <w:rsid w:val="00524DA2"/>
    <w:rsid w:val="0052640B"/>
    <w:rsid w:val="00527233"/>
    <w:rsid w:val="00530D59"/>
    <w:rsid w:val="005324B9"/>
    <w:rsid w:val="00533C89"/>
    <w:rsid w:val="00535894"/>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1F4F"/>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0116"/>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alena.papez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etr.vasek@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lan.jonszt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jiri.brzon@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8957</Words>
  <Characters>55111</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2026-01-08T08:59:00Z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