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145C96DF" w:rsidR="00F86687" w:rsidRPr="003306C5" w:rsidRDefault="00920E4B" w:rsidP="00550448">
      <w:pPr>
        <w:pStyle w:val="Nzev"/>
        <w:rPr>
          <w:sz w:val="22"/>
          <w:szCs w:val="22"/>
        </w:rPr>
      </w:pPr>
      <w:r w:rsidRPr="003306C5">
        <w:rPr>
          <w:sz w:val="22"/>
          <w:szCs w:val="22"/>
        </w:rPr>
        <w:t>KUPNÍ SMLOUVA</w:t>
      </w:r>
      <w:r w:rsidR="0015231C">
        <w:rPr>
          <w:sz w:val="22"/>
          <w:szCs w:val="22"/>
        </w:rPr>
        <w:t xml:space="preserve"> – </w:t>
      </w:r>
      <w:r w:rsidR="00B377DE">
        <w:rPr>
          <w:sz w:val="22"/>
          <w:szCs w:val="22"/>
        </w:rPr>
        <w:t>OSOBNÍ</w:t>
      </w:r>
      <w:r w:rsidR="0015231C">
        <w:rPr>
          <w:sz w:val="22"/>
          <w:szCs w:val="22"/>
        </w:rPr>
        <w:t xml:space="preserve"> VOZIDLO</w:t>
      </w:r>
    </w:p>
    <w:p w14:paraId="523A1A47" w14:textId="77777777" w:rsidR="00CD031F" w:rsidRPr="003306C5" w:rsidRDefault="00CD031F" w:rsidP="008D177E">
      <w:pPr>
        <w:pStyle w:val="Nzev"/>
        <w:rPr>
          <w:sz w:val="22"/>
          <w:szCs w:val="22"/>
        </w:rPr>
      </w:pPr>
    </w:p>
    <w:p w14:paraId="5D2841A3" w14:textId="667E15DE" w:rsidR="00F2060E" w:rsidRPr="003306C5" w:rsidRDefault="00F2060E" w:rsidP="008D177E">
      <w:pPr>
        <w:pStyle w:val="Nzev"/>
        <w:rPr>
          <w:b w:val="0"/>
          <w:bCs/>
          <w:sz w:val="22"/>
          <w:szCs w:val="22"/>
        </w:rPr>
      </w:pPr>
      <w:r w:rsidRPr="003306C5">
        <w:rPr>
          <w:b w:val="0"/>
          <w:bCs/>
          <w:sz w:val="22"/>
          <w:szCs w:val="22"/>
        </w:rPr>
        <w:t>Číslo smlouvy EZAK</w:t>
      </w:r>
      <w:r w:rsidR="002C210D">
        <w:rPr>
          <w:b w:val="0"/>
          <w:bCs/>
          <w:sz w:val="22"/>
          <w:szCs w:val="22"/>
        </w:rPr>
        <w:t xml:space="preserve">: </w:t>
      </w:r>
      <w:r w:rsidRPr="003306C5">
        <w:rPr>
          <w:b w:val="0"/>
          <w:bCs/>
          <w:sz w:val="22"/>
          <w:szCs w:val="22"/>
          <w:highlight w:val="yellow"/>
        </w:rPr>
        <w:t>[</w:t>
      </w:r>
      <w:r w:rsidR="00B95364" w:rsidRPr="00B95364">
        <w:rPr>
          <w:b w:val="0"/>
          <w:bCs/>
          <w:sz w:val="22"/>
          <w:szCs w:val="22"/>
        </w:rPr>
        <w:t>P2500001</w:t>
      </w:r>
      <w:r w:rsidR="00EC08D0">
        <w:rPr>
          <w:b w:val="0"/>
          <w:bCs/>
          <w:sz w:val="22"/>
          <w:szCs w:val="22"/>
        </w:rPr>
        <w:t>709</w:t>
      </w:r>
      <w:r w:rsidRPr="00B95364">
        <w:rPr>
          <w:b w:val="0"/>
          <w:bCs/>
          <w:sz w:val="22"/>
          <w:szCs w:val="22"/>
        </w:rPr>
        <w:t>]</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r w:rsidRPr="003306C5">
        <w:rPr>
          <w:sz w:val="22"/>
          <w:szCs w:val="22"/>
        </w:rPr>
        <w:t>Pr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t>pdrwknv</w:t>
      </w:r>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3306C5" w:rsidRDefault="00DB2D91" w:rsidP="008D177E">
      <w:pPr>
        <w:spacing w:before="240" w:after="240"/>
        <w:jc w:val="both"/>
        <w:rPr>
          <w:b/>
          <w:sz w:val="22"/>
          <w:szCs w:val="22"/>
        </w:rPr>
      </w:pPr>
      <w:r w:rsidRPr="003306C5">
        <w:rPr>
          <w:b/>
          <w:sz w:val="22"/>
          <w:szCs w:val="22"/>
        </w:rPr>
        <w:t>a</w:t>
      </w:r>
      <w:r w:rsidR="00CD031F" w:rsidRPr="003306C5">
        <w:rPr>
          <w:b/>
          <w:sz w:val="22"/>
          <w:szCs w:val="22"/>
        </w:rPr>
        <w:t xml:space="preserve"> </w:t>
      </w:r>
    </w:p>
    <w:p w14:paraId="34ECE794" w14:textId="252A6123" w:rsidR="00DB2D91" w:rsidRPr="003306C5" w:rsidRDefault="00F15439" w:rsidP="008D177E">
      <w:pPr>
        <w:tabs>
          <w:tab w:val="left" w:pos="2127"/>
          <w:tab w:val="right" w:pos="6663"/>
        </w:tabs>
        <w:jc w:val="both"/>
        <w:rPr>
          <w:sz w:val="22"/>
          <w:szCs w:val="22"/>
        </w:rPr>
      </w:pPr>
      <w:r w:rsidRPr="003306C5">
        <w:rPr>
          <w:rStyle w:val="platne1"/>
          <w:sz w:val="22"/>
          <w:szCs w:val="22"/>
        </w:rPr>
        <w:t>Název:</w:t>
      </w:r>
      <w:r w:rsidR="00BD2562">
        <w:rPr>
          <w:rStyle w:val="platne1"/>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1A42919A" w14:textId="486E5417" w:rsidR="00F15439" w:rsidRPr="003306C5" w:rsidRDefault="00F15439" w:rsidP="008D177E">
      <w:pPr>
        <w:tabs>
          <w:tab w:val="left" w:pos="2127"/>
          <w:tab w:val="right" w:pos="6663"/>
        </w:tabs>
        <w:jc w:val="both"/>
        <w:rPr>
          <w:sz w:val="22"/>
          <w:szCs w:val="22"/>
        </w:rPr>
      </w:pPr>
      <w:r w:rsidRPr="003306C5">
        <w:rPr>
          <w:sz w:val="22"/>
          <w:szCs w:val="22"/>
        </w:rPr>
        <w:t>Sídl</w:t>
      </w:r>
      <w:r w:rsidR="00BD2562">
        <w:rPr>
          <w:sz w:val="22"/>
          <w:szCs w:val="22"/>
        </w:rPr>
        <w:t>o</w:t>
      </w:r>
      <w:r w:rsidRPr="003306C5">
        <w:rPr>
          <w:sz w:val="22"/>
          <w:szCs w:val="22"/>
        </w:rPr>
        <w:t>:</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7F7CF872" w14:textId="59A6E2F0" w:rsidR="007E071F" w:rsidRPr="003306C5" w:rsidRDefault="00F15439" w:rsidP="008D177E">
      <w:pPr>
        <w:tabs>
          <w:tab w:val="left" w:pos="2127"/>
        </w:tabs>
        <w:autoSpaceDE w:val="0"/>
        <w:autoSpaceDN w:val="0"/>
        <w:adjustRightInd w:val="0"/>
        <w:rPr>
          <w:sz w:val="22"/>
          <w:szCs w:val="22"/>
        </w:rPr>
      </w:pPr>
      <w:r w:rsidRPr="003306C5">
        <w:rPr>
          <w:sz w:val="22"/>
          <w:szCs w:val="22"/>
        </w:rPr>
        <w:t>Spisová značka:</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4FED5DE2" w14:textId="74F2D7B5" w:rsidR="00F9381A" w:rsidRPr="003306C5" w:rsidRDefault="007E071F" w:rsidP="008D177E">
      <w:pPr>
        <w:tabs>
          <w:tab w:val="left" w:pos="2127"/>
        </w:tabs>
        <w:autoSpaceDE w:val="0"/>
        <w:autoSpaceDN w:val="0"/>
        <w:adjustRightInd w:val="0"/>
        <w:rPr>
          <w:sz w:val="22"/>
          <w:szCs w:val="22"/>
        </w:rPr>
      </w:pPr>
      <w:r w:rsidRPr="003306C5">
        <w:rPr>
          <w:sz w:val="22"/>
          <w:szCs w:val="22"/>
        </w:rPr>
        <w:t>IČO:</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024BB0B" w14:textId="70D3259D" w:rsidR="007E071F" w:rsidRPr="003306C5" w:rsidRDefault="007E071F" w:rsidP="008D177E">
      <w:pPr>
        <w:tabs>
          <w:tab w:val="left" w:pos="2127"/>
        </w:tabs>
        <w:autoSpaceDE w:val="0"/>
        <w:autoSpaceDN w:val="0"/>
        <w:adjustRightInd w:val="0"/>
        <w:rPr>
          <w:sz w:val="22"/>
          <w:szCs w:val="22"/>
        </w:rPr>
      </w:pPr>
      <w:r w:rsidRPr="003306C5">
        <w:rPr>
          <w:sz w:val="22"/>
          <w:szCs w:val="22"/>
        </w:rPr>
        <w:t>DIČ:</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C288085" w14:textId="71DAE364" w:rsidR="00852C4E" w:rsidRPr="003306C5" w:rsidRDefault="00852C4E" w:rsidP="008D177E">
      <w:pPr>
        <w:tabs>
          <w:tab w:val="left" w:pos="2127"/>
        </w:tabs>
        <w:autoSpaceDE w:val="0"/>
        <w:autoSpaceDN w:val="0"/>
        <w:adjustRightInd w:val="0"/>
        <w:rPr>
          <w:sz w:val="22"/>
          <w:szCs w:val="22"/>
        </w:rPr>
      </w:pPr>
      <w:r w:rsidRPr="003306C5">
        <w:rPr>
          <w:sz w:val="22"/>
          <w:szCs w:val="22"/>
        </w:rPr>
        <w:t xml:space="preserve">ID </w:t>
      </w:r>
      <w:r w:rsidR="00BD2562">
        <w:rPr>
          <w:sz w:val="22"/>
          <w:szCs w:val="22"/>
        </w:rPr>
        <w:t xml:space="preserve">datové </w:t>
      </w:r>
      <w:r w:rsidRPr="003306C5">
        <w:rPr>
          <w:sz w:val="22"/>
          <w:szCs w:val="22"/>
        </w:rPr>
        <w:t>schránky:</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8D73AE5" w14:textId="75890CC6" w:rsidR="007E071F" w:rsidRPr="003306C5" w:rsidRDefault="007E071F" w:rsidP="008D177E">
      <w:pPr>
        <w:tabs>
          <w:tab w:val="left" w:pos="2127"/>
        </w:tabs>
        <w:autoSpaceDE w:val="0"/>
        <w:autoSpaceDN w:val="0"/>
        <w:adjustRightInd w:val="0"/>
        <w:rPr>
          <w:sz w:val="22"/>
          <w:szCs w:val="22"/>
        </w:rPr>
      </w:pPr>
      <w:r w:rsidRPr="003306C5">
        <w:rPr>
          <w:sz w:val="22"/>
          <w:szCs w:val="22"/>
        </w:rPr>
        <w:t>Bankovní spojení:</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B276485" w14:textId="377FE9E5" w:rsidR="00F15439" w:rsidRPr="003306C5" w:rsidRDefault="00F15439" w:rsidP="008D177E">
      <w:pPr>
        <w:tabs>
          <w:tab w:val="left" w:pos="2127"/>
        </w:tabs>
        <w:autoSpaceDE w:val="0"/>
        <w:autoSpaceDN w:val="0"/>
        <w:adjustRightInd w:val="0"/>
        <w:rPr>
          <w:sz w:val="22"/>
          <w:szCs w:val="22"/>
        </w:rPr>
      </w:pPr>
      <w:r w:rsidRPr="003306C5">
        <w:rPr>
          <w:sz w:val="22"/>
          <w:szCs w:val="22"/>
        </w:rPr>
        <w:t>Zastoupena</w:t>
      </w:r>
      <w:r w:rsidR="00F9381A" w:rsidRPr="003306C5">
        <w:rPr>
          <w:sz w:val="22"/>
          <w:szCs w:val="22"/>
        </w:rPr>
        <w:t>:</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1C1F0A58"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 veřejnou zakázku </w:t>
      </w:r>
      <w:r w:rsidR="008877B3" w:rsidRPr="008877B3">
        <w:rPr>
          <w:sz w:val="22"/>
          <w:szCs w:val="22"/>
        </w:rPr>
        <w:t>malého</w:t>
      </w:r>
      <w:r w:rsidR="008877B3">
        <w:rPr>
          <w:sz w:val="22"/>
          <w:szCs w:val="22"/>
        </w:rPr>
        <w:t xml:space="preserve"> rozsahu </w:t>
      </w:r>
      <w:r w:rsidRPr="003330C9">
        <w:rPr>
          <w:sz w:val="22"/>
          <w:szCs w:val="22"/>
        </w:rPr>
        <w:t>s názvem „</w:t>
      </w:r>
      <w:r w:rsidR="008877B3" w:rsidRPr="008877B3">
        <w:rPr>
          <w:sz w:val="22"/>
          <w:szCs w:val="22"/>
        </w:rPr>
        <w:t xml:space="preserve">Nákup </w:t>
      </w:r>
      <w:r w:rsidR="00CE1825">
        <w:rPr>
          <w:sz w:val="22"/>
          <w:szCs w:val="22"/>
        </w:rPr>
        <w:t>osobní</w:t>
      </w:r>
      <w:r w:rsidR="008877B3" w:rsidRPr="008877B3">
        <w:rPr>
          <w:sz w:val="22"/>
          <w:szCs w:val="22"/>
        </w:rPr>
        <w:t>ho vozidla</w:t>
      </w:r>
      <w:r w:rsidRPr="003330C9">
        <w:rPr>
          <w:sz w:val="22"/>
          <w:szCs w:val="22"/>
        </w:rPr>
        <w:t xml:space="preserve">“, </w:t>
      </w:r>
      <w:r w:rsidR="008877B3">
        <w:rPr>
          <w:sz w:val="22"/>
          <w:szCs w:val="22"/>
        </w:rPr>
        <w:t>systémové číslo E-ZAK</w:t>
      </w:r>
      <w:r w:rsidRPr="003330C9">
        <w:rPr>
          <w:sz w:val="22"/>
          <w:szCs w:val="22"/>
        </w:rPr>
        <w:t xml:space="preserve">: </w:t>
      </w:r>
      <w:r w:rsidR="00B95364" w:rsidRPr="00B95364">
        <w:rPr>
          <w:b/>
          <w:bCs/>
          <w:sz w:val="22"/>
          <w:szCs w:val="22"/>
        </w:rPr>
        <w:t>P2500001</w:t>
      </w:r>
      <w:r w:rsidR="00EC08D0">
        <w:rPr>
          <w:b/>
          <w:bCs/>
          <w:sz w:val="22"/>
          <w:szCs w:val="22"/>
        </w:rPr>
        <w:t>709</w:t>
      </w:r>
      <w:r w:rsidRPr="003330C9">
        <w:rPr>
          <w:sz w:val="22"/>
          <w:szCs w:val="22"/>
        </w:rPr>
        <w:t xml:space="preserve"> zadávanou </w:t>
      </w:r>
      <w:r w:rsidR="008877B3">
        <w:rPr>
          <w:sz w:val="22"/>
          <w:szCs w:val="22"/>
        </w:rPr>
        <w:t>mimo zadávací</w:t>
      </w:r>
      <w:r>
        <w:rPr>
          <w:sz w:val="22"/>
          <w:szCs w:val="22"/>
        </w:rPr>
        <w:t xml:space="preserve"> </w:t>
      </w:r>
      <w:r w:rsidRPr="003330C9">
        <w:rPr>
          <w:sz w:val="22"/>
          <w:szCs w:val="22"/>
        </w:rPr>
        <w:t>řízení podle 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10BA49D7"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veřejná zakázka </w:t>
      </w:r>
      <w:r w:rsidR="00BE29C7" w:rsidRPr="000A50FE">
        <w:rPr>
          <w:sz w:val="22"/>
          <w:szCs w:val="22"/>
        </w:rPr>
        <w:t>malého ro</w:t>
      </w:r>
      <w:r w:rsidR="00BE29C7">
        <w:rPr>
          <w:sz w:val="22"/>
          <w:szCs w:val="22"/>
        </w:rPr>
        <w:t xml:space="preserve">zsahu </w:t>
      </w:r>
      <w:r w:rsidRPr="006B4B54">
        <w:rPr>
          <w:sz w:val="22"/>
          <w:szCs w:val="22"/>
        </w:rPr>
        <w:t xml:space="preserve">s názvem </w:t>
      </w:r>
      <w:r w:rsidR="00BE29C7" w:rsidRPr="008877B3">
        <w:rPr>
          <w:sz w:val="22"/>
          <w:szCs w:val="22"/>
        </w:rPr>
        <w:t xml:space="preserve">Nákup </w:t>
      </w:r>
      <w:r w:rsidR="00CE1825">
        <w:rPr>
          <w:sz w:val="22"/>
          <w:szCs w:val="22"/>
        </w:rPr>
        <w:t>osobní</w:t>
      </w:r>
      <w:r w:rsidR="00BE29C7" w:rsidRPr="008877B3">
        <w:rPr>
          <w:sz w:val="22"/>
          <w:szCs w:val="22"/>
        </w:rPr>
        <w:t>ho vozidla</w:t>
      </w:r>
      <w:r w:rsidR="00BE29C7" w:rsidRPr="003330C9">
        <w:rPr>
          <w:sz w:val="22"/>
          <w:szCs w:val="22"/>
        </w:rPr>
        <w:t xml:space="preserve">“, </w:t>
      </w:r>
      <w:r w:rsidR="00BE29C7">
        <w:rPr>
          <w:sz w:val="22"/>
          <w:szCs w:val="22"/>
        </w:rPr>
        <w:t>systémové číslo E-ZAK</w:t>
      </w:r>
      <w:r w:rsidR="00BE29C7" w:rsidRPr="003330C9">
        <w:rPr>
          <w:sz w:val="22"/>
          <w:szCs w:val="22"/>
        </w:rPr>
        <w:t>:</w:t>
      </w:r>
      <w:r w:rsidR="00B95364" w:rsidRPr="00B95364">
        <w:rPr>
          <w:b/>
          <w:bCs/>
          <w:sz w:val="22"/>
          <w:szCs w:val="22"/>
        </w:rPr>
        <w:t xml:space="preserve"> P2500001</w:t>
      </w:r>
      <w:r w:rsidR="00EC08D0">
        <w:rPr>
          <w:b/>
          <w:bCs/>
          <w:sz w:val="22"/>
          <w:szCs w:val="22"/>
        </w:rPr>
        <w:t>709</w:t>
      </w:r>
    </w:p>
    <w:p w14:paraId="3233B04D" w14:textId="77777777"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lastRenderedPageBreak/>
        <w:t>Vozidlo</w:t>
      </w:r>
      <w:r>
        <w:rPr>
          <w:sz w:val="22"/>
          <w:szCs w:val="22"/>
        </w:rPr>
        <w:t xml:space="preserve"> je silniční motorové vozidlo, jehož dodání je předmětem této Smlouvy.</w:t>
      </w:r>
    </w:p>
    <w:p w14:paraId="5B9FCA24" w14:textId="4886DC7F"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 xml:space="preserve">ZADÁVACÍ DOKUMENTACE pro veřejnou zakázku malého rozsahu zadávanou mimo režim zákona č. 134/2016 Sb., o zadávání veřejných zakázek, ve znění pozdějších předpisů (dále jen „ZZVZ“), s názvem: „Nákup </w:t>
      </w:r>
      <w:r w:rsidR="00CE1825">
        <w:rPr>
          <w:i/>
          <w:iCs/>
          <w:sz w:val="22"/>
          <w:szCs w:val="22"/>
        </w:rPr>
        <w:t xml:space="preserve">osobního </w:t>
      </w:r>
      <w:r w:rsidR="000A50FE" w:rsidRPr="000A50FE">
        <w:rPr>
          <w:i/>
          <w:iCs/>
          <w:sz w:val="22"/>
          <w:szCs w:val="22"/>
        </w:rPr>
        <w:t>vozidla</w:t>
      </w:r>
      <w:r w:rsidRPr="000A50FE">
        <w:rPr>
          <w:sz w:val="22"/>
          <w:szCs w:val="22"/>
        </w:rPr>
        <w:t>“, který tvoří součást zadávacích podmínek Veřejné zakázky, a to včetně všech případných vysvětlení, změn nebo doplnění</w:t>
      </w:r>
      <w:r w:rsidR="00DF37C0" w:rsidRPr="000A50FE">
        <w:rPr>
          <w:sz w:val="22"/>
          <w:szCs w:val="22"/>
        </w:rPr>
        <w:t xml:space="preserve"> </w:t>
      </w:r>
      <w:r w:rsidR="00235DCE" w:rsidRPr="000A50FE">
        <w:rPr>
          <w:sz w:val="22"/>
          <w:szCs w:val="22"/>
        </w:rPr>
        <w:t>učiněným 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6B4B54">
      <w:pPr>
        <w:pStyle w:val="Odstavecseseznamem"/>
        <w:numPr>
          <w:ilvl w:val="0"/>
          <w:numId w:val="36"/>
        </w:numPr>
        <w:spacing w:before="480" w:after="240"/>
        <w:ind w:left="357" w:hanging="357"/>
        <w:contextualSpacing w:val="0"/>
        <w:rPr>
          <w:b/>
          <w:sz w:val="22"/>
          <w:szCs w:val="22"/>
        </w:rPr>
      </w:pPr>
      <w:bookmarkStart w:id="1" w:name="_Ref210742291"/>
      <w:r w:rsidRPr="006B4B54">
        <w:rPr>
          <w:b/>
          <w:sz w:val="22"/>
          <w:szCs w:val="22"/>
        </w:rPr>
        <w:t>Předmět Smlouvy</w:t>
      </w:r>
      <w:bookmarkEnd w:id="1"/>
    </w:p>
    <w:p w14:paraId="601432C5" w14:textId="0B7E72EE"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8C3918">
        <w:rPr>
          <w:bCs/>
          <w:sz w:val="22"/>
          <w:szCs w:val="22"/>
        </w:rPr>
        <w:t xml:space="preserve">Vozidla </w:t>
      </w:r>
      <w:r w:rsidRPr="002C0102">
        <w:rPr>
          <w:bCs/>
          <w:sz w:val="22"/>
          <w:szCs w:val="22"/>
        </w:rPr>
        <w:t>za podmínek stanovených touto Smlouvou.</w:t>
      </w:r>
    </w:p>
    <w:p w14:paraId="68CA2FA4" w14:textId="67F07164"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Vozidla je uvedena v p</w:t>
      </w:r>
      <w:r w:rsidRPr="002C0102">
        <w:rPr>
          <w:bCs/>
          <w:sz w:val="22"/>
          <w:szCs w:val="22"/>
        </w:rPr>
        <w:t>řílo</w:t>
      </w:r>
      <w:r w:rsidR="008C3918">
        <w:rPr>
          <w:bCs/>
          <w:sz w:val="22"/>
          <w:szCs w:val="22"/>
        </w:rPr>
        <w:t xml:space="preserve">ze </w:t>
      </w:r>
      <w:r w:rsidR="002C2B87" w:rsidRPr="002C0102">
        <w:rPr>
          <w:bCs/>
          <w:sz w:val="22"/>
          <w:szCs w:val="22"/>
        </w:rPr>
        <w:t xml:space="preserve">č. 1 </w:t>
      </w:r>
      <w:r w:rsidRPr="002C0102">
        <w:rPr>
          <w:bCs/>
          <w:sz w:val="22"/>
          <w:szCs w:val="22"/>
        </w:rPr>
        <w:t xml:space="preserve">této </w:t>
      </w:r>
      <w:r w:rsidR="008C3918">
        <w:rPr>
          <w:bCs/>
          <w:sz w:val="22"/>
          <w:szCs w:val="22"/>
        </w:rPr>
        <w:t>S</w:t>
      </w:r>
      <w:r w:rsidRPr="002C0102">
        <w:rPr>
          <w:bCs/>
          <w:sz w:val="22"/>
          <w:szCs w:val="22"/>
        </w:rPr>
        <w:t>mlouvy.</w:t>
      </w:r>
    </w:p>
    <w:p w14:paraId="1E7395D8" w14:textId="1E59BC25"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lastRenderedPageBreak/>
        <w:t xml:space="preserve">Prodávající se zavazuje též současně s dodáním </w:t>
      </w:r>
      <w:r w:rsidR="00306ADD">
        <w:rPr>
          <w:bCs/>
          <w:sz w:val="22"/>
          <w:szCs w:val="22"/>
        </w:rPr>
        <w:t>V</w:t>
      </w:r>
      <w:r w:rsidRPr="002C0102">
        <w:rPr>
          <w:bCs/>
          <w:sz w:val="22"/>
          <w:szCs w:val="22"/>
        </w:rPr>
        <w:t>ozidl</w:t>
      </w:r>
      <w:r w:rsidR="00CD74C0" w:rsidRPr="002C0102">
        <w:rPr>
          <w:bCs/>
          <w:sz w:val="22"/>
          <w:szCs w:val="22"/>
        </w:rPr>
        <w:t>a</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CD74C0" w:rsidRPr="002C0102">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250D424F"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CD74C0" w:rsidRPr="002C0102">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3748FC43"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E34D92" w:rsidRPr="002C0102">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E34D92" w:rsidRPr="002C0102">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u</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44A34B44"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781A5FAE"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78B4E1D"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26D597B0"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46408347"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6B290FFB"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33F92558"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2156F03E"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17823FDC" w14:textId="06025EA6"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CD74C0" w:rsidRPr="002C0102">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101066F6"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 xml:space="preserve">ozidlo uvedené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5BE24949" w:rsidR="00EF0F7A" w:rsidRPr="003306C5" w:rsidRDefault="00B377DE"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Pr>
                <w:sz w:val="22"/>
                <w:szCs w:val="22"/>
              </w:rPr>
              <w:t>Osobní</w:t>
            </w:r>
            <w:r w:rsidR="00EF0F7A" w:rsidRPr="003306C5">
              <w:rPr>
                <w:sz w:val="22"/>
                <w:szCs w:val="22"/>
              </w:rPr>
              <w:t xml:space="preserve"> vozidlo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17C76BA"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sidR="00B735A4">
              <w:rPr>
                <w:sz w:val="22"/>
                <w:szCs w:val="22"/>
                <w:highlight w:val="green"/>
              </w:rPr>
              <w:t>í</w:t>
            </w:r>
            <w:r w:rsidRPr="003306C5">
              <w:rPr>
                <w:sz w:val="22"/>
                <w:szCs w:val="22"/>
                <w:highlight w:val="green"/>
              </w:rPr>
              <w:t xml:space="preserve"> </w:t>
            </w:r>
            <w:r w:rsidR="00B735A4">
              <w:rPr>
                <w:sz w:val="22"/>
                <w:szCs w:val="22"/>
                <w:highlight w:val="green"/>
              </w:rPr>
              <w:t>P</w:t>
            </w:r>
            <w:r w:rsidRPr="003306C5">
              <w:rPr>
                <w:sz w:val="22"/>
                <w:szCs w:val="22"/>
                <w:highlight w:val="green"/>
              </w:rPr>
              <w:t xml:space="preserve">rodávající </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081C9D27"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6EFD708F"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 Kč</w:t>
            </w:r>
          </w:p>
        </w:tc>
        <w:tc>
          <w:tcPr>
            <w:tcW w:w="3445" w:type="dxa"/>
          </w:tcPr>
          <w:p w14:paraId="575ACCF8" w14:textId="5385485F"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2ADA962E"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0D7D8647" w14:textId="76060D0C"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7849F782" w:rsidRPr="003306C5">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55265E34" w:rsidRPr="003306C5">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8" w:history="1">
        <w:r w:rsidR="0007788A" w:rsidRPr="0099108B">
          <w:rPr>
            <w:b/>
            <w:bCs/>
            <w:sz w:val="22"/>
            <w:szCs w:val="22"/>
          </w:rPr>
          <w:t>fakturace@idsk.cz</w:t>
        </w:r>
      </w:hyperlink>
      <w:r w:rsidR="00FD4A94" w:rsidRPr="0099108B">
        <w:rPr>
          <w:bCs/>
          <w:sz w:val="22"/>
          <w:szCs w:val="22"/>
        </w:rPr>
        <w:t>.</w:t>
      </w:r>
    </w:p>
    <w:p w14:paraId="25AF3AAC" w14:textId="5FB3ED10"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93072F" w:rsidRPr="003306C5">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dodán</w:t>
      </w:r>
      <w:r w:rsidR="0093072F" w:rsidRPr="003306C5">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77CA6F8E"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523EC233"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 xml:space="preserve">Vozidla </w:t>
      </w:r>
      <w:r w:rsidR="009120E1" w:rsidRPr="003306C5">
        <w:rPr>
          <w:bCs/>
          <w:sz w:val="22"/>
          <w:szCs w:val="22"/>
        </w:rPr>
        <w:t>Kupujícím.</w:t>
      </w:r>
    </w:p>
    <w:p w14:paraId="64DEDEF6" w14:textId="1B929DE2"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93072F" w:rsidRPr="003306C5">
        <w:rPr>
          <w:bCs/>
          <w:sz w:val="22"/>
          <w:szCs w:val="22"/>
        </w:rPr>
        <w:t>la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6B16DC72"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 xml:space="preserve">Vozidla </w:t>
      </w:r>
      <w:r w:rsidRPr="003306C5">
        <w:rPr>
          <w:bCs/>
          <w:sz w:val="22"/>
          <w:szCs w:val="22"/>
        </w:rPr>
        <w:t xml:space="preserve">Kupujícím. Faktura může být vystavena nejdříve v den převzetí </w:t>
      </w:r>
      <w:r w:rsidR="00C023D6">
        <w:rPr>
          <w:bCs/>
          <w:sz w:val="22"/>
          <w:szCs w:val="22"/>
        </w:rPr>
        <w:t>Vozidla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305D3096"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28E35039"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Vozidlo </w:t>
      </w:r>
      <w:r w:rsidRPr="005224E8">
        <w:rPr>
          <w:bCs/>
          <w:sz w:val="22"/>
          <w:szCs w:val="22"/>
        </w:rPr>
        <w:t xml:space="preserve">je Prodávající povinen dodat Kupujícímu nejpozději </w:t>
      </w:r>
      <w:r w:rsidRPr="005224E8">
        <w:rPr>
          <w:bCs/>
        </w:rPr>
        <w:t xml:space="preserve">do </w:t>
      </w:r>
      <w:r w:rsidR="00B90C52">
        <w:rPr>
          <w:bCs/>
        </w:rPr>
        <w:t>1</w:t>
      </w:r>
      <w:r w:rsidR="00B377DE">
        <w:rPr>
          <w:bCs/>
        </w:rPr>
        <w:t>5</w:t>
      </w:r>
      <w:r w:rsidR="00B90C52">
        <w:rPr>
          <w:bCs/>
        </w:rPr>
        <w:t>.12.2025</w:t>
      </w:r>
      <w:r w:rsidRPr="005224E8">
        <w:rPr>
          <w:bCs/>
        </w:rPr>
        <w:t>.</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391B265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Vozidla</w:t>
      </w:r>
    </w:p>
    <w:p w14:paraId="4991A570" w14:textId="22043C62"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 xml:space="preserve">ozidla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 xml:space="preserve">Vozidlo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7B20454E"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Vozidlo, které vykazuje vady.</w:t>
      </w:r>
    </w:p>
    <w:p w14:paraId="0193AC7F" w14:textId="62C6475E"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 xml:space="preserve">ozidla potvrdí za Kupujícího osoba oprávněná k jeho převzetí, a to na dokladu o převzetí </w:t>
      </w:r>
      <w:r w:rsidR="00BB25A2">
        <w:rPr>
          <w:bCs/>
          <w:sz w:val="22"/>
          <w:szCs w:val="22"/>
        </w:rPr>
        <w:t>V</w:t>
      </w:r>
      <w:r w:rsidRPr="003306C5">
        <w:rPr>
          <w:bCs/>
          <w:sz w:val="22"/>
          <w:szCs w:val="22"/>
        </w:rPr>
        <w:t>ozidla (dodací list/výdejka/předávací protokol)</w:t>
      </w:r>
      <w:r w:rsidR="001D1A9D" w:rsidRPr="003306C5">
        <w:rPr>
          <w:bCs/>
          <w:sz w:val="22"/>
          <w:szCs w:val="22"/>
        </w:rPr>
        <w:t>.</w:t>
      </w:r>
      <w:r w:rsidRPr="003306C5">
        <w:rPr>
          <w:bCs/>
          <w:sz w:val="22"/>
          <w:szCs w:val="22"/>
        </w:rPr>
        <w:t xml:space="preserve"> </w:t>
      </w:r>
    </w:p>
    <w:p w14:paraId="1715D71A" w14:textId="5FCFE813"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AD13DC" w:rsidRPr="003306C5">
        <w:rPr>
          <w:bCs/>
          <w:sz w:val="22"/>
          <w:szCs w:val="22"/>
        </w:rPr>
        <w:t>u</w:t>
      </w:r>
      <w:r w:rsidRPr="003306C5">
        <w:rPr>
          <w:bCs/>
          <w:sz w:val="22"/>
          <w:szCs w:val="22"/>
        </w:rPr>
        <w:t xml:space="preserve"> přejde z Prodávajícího na Kupujícího </w:t>
      </w:r>
      <w:r w:rsidR="00C61F55" w:rsidRPr="003306C5">
        <w:rPr>
          <w:bCs/>
          <w:sz w:val="22"/>
          <w:szCs w:val="22"/>
        </w:rPr>
        <w:t>okamžikem je</w:t>
      </w:r>
      <w:r w:rsidR="00B701A3" w:rsidRPr="003306C5">
        <w:rPr>
          <w:bCs/>
          <w:sz w:val="22"/>
          <w:szCs w:val="22"/>
        </w:rPr>
        <w:t>ho</w:t>
      </w:r>
      <w:r w:rsidR="00C61F55" w:rsidRPr="003306C5">
        <w:rPr>
          <w:bCs/>
          <w:sz w:val="22"/>
          <w:szCs w:val="22"/>
        </w:rPr>
        <w:t xml:space="preserve"> převzetí.</w:t>
      </w:r>
    </w:p>
    <w:p w14:paraId="574C45B2" w14:textId="199C6559"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AD13DC" w:rsidRPr="003306C5">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vozidla na pozemních komunikacích.</w:t>
      </w:r>
    </w:p>
    <w:p w14:paraId="3257F800" w14:textId="3E64A818" w:rsidR="000519CB" w:rsidRPr="003306C5"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5347B636"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lastRenderedPageBreak/>
        <w:t xml:space="preserve">Prodávající poskytuje na dodané </w:t>
      </w:r>
      <w:r w:rsidR="00A371C5">
        <w:rPr>
          <w:bCs/>
          <w:sz w:val="22"/>
          <w:szCs w:val="22"/>
        </w:rPr>
        <w:t>V</w:t>
      </w:r>
      <w:r w:rsidRPr="003306C5">
        <w:rPr>
          <w:bCs/>
          <w:sz w:val="22"/>
          <w:szCs w:val="22"/>
        </w:rPr>
        <w:t xml:space="preserve">ozidlo včetně příslušenství záruku za jakost v délce </w:t>
      </w:r>
      <w:r w:rsidR="00F9381A" w:rsidRPr="003306C5">
        <w:rPr>
          <w:bCs/>
          <w:sz w:val="22"/>
          <w:szCs w:val="22"/>
        </w:rPr>
        <w:t>(</w:t>
      </w:r>
      <w:r w:rsidR="00F9381A" w:rsidRPr="00A371C5">
        <w:rPr>
          <w:bCs/>
          <w:sz w:val="22"/>
          <w:szCs w:val="22"/>
          <w:highlight w:val="green"/>
        </w:rPr>
        <w:t>DOPLNÍ DODAVATEL</w:t>
      </w:r>
      <w:r w:rsidR="00933FE7" w:rsidRPr="00A371C5">
        <w:rPr>
          <w:bCs/>
          <w:sz w:val="22"/>
          <w:szCs w:val="22"/>
          <w:highlight w:val="green"/>
        </w:rPr>
        <w:t xml:space="preserve"> </w:t>
      </w:r>
      <w:r w:rsidRPr="00A371C5">
        <w:rPr>
          <w:bCs/>
          <w:sz w:val="22"/>
          <w:szCs w:val="22"/>
          <w:highlight w:val="green"/>
        </w:rPr>
        <w:t xml:space="preserve">– nejméně však </w:t>
      </w:r>
      <w:r w:rsidR="2D5C71D3" w:rsidRPr="00A371C5">
        <w:rPr>
          <w:bCs/>
          <w:sz w:val="22"/>
          <w:szCs w:val="22"/>
          <w:highlight w:val="green"/>
        </w:rPr>
        <w:t>24</w:t>
      </w:r>
      <w:r w:rsidR="00933FE7" w:rsidRPr="00A371C5">
        <w:rPr>
          <w:bCs/>
          <w:sz w:val="22"/>
          <w:szCs w:val="22"/>
          <w:highlight w:val="green"/>
        </w:rPr>
        <w:t xml:space="preserve"> </w:t>
      </w:r>
      <w:r w:rsidRPr="00A371C5">
        <w:rPr>
          <w:bCs/>
          <w:sz w:val="22"/>
          <w:szCs w:val="22"/>
          <w:highlight w:val="green"/>
        </w:rPr>
        <w:t>měsíců</w:t>
      </w:r>
      <w:r w:rsidR="00933FE7" w:rsidRPr="003306C5">
        <w:rPr>
          <w:bCs/>
          <w:sz w:val="22"/>
          <w:szCs w:val="22"/>
        </w:rPr>
        <w:t>)</w:t>
      </w:r>
      <w:r w:rsidRPr="003306C5">
        <w:rPr>
          <w:bCs/>
          <w:sz w:val="22"/>
          <w:szCs w:val="22"/>
        </w:rPr>
        <w:t xml:space="preserve"> měsíců od jeho dodání kupujícímu nebo do ujetí </w:t>
      </w:r>
      <w:r w:rsidR="00933FE7" w:rsidRPr="003306C5">
        <w:rPr>
          <w:bCs/>
          <w:sz w:val="22"/>
          <w:szCs w:val="22"/>
        </w:rPr>
        <w:t>(</w:t>
      </w:r>
      <w:r w:rsidR="00F9381A" w:rsidRPr="00A371C5">
        <w:rPr>
          <w:bCs/>
          <w:sz w:val="22"/>
          <w:szCs w:val="22"/>
          <w:highlight w:val="green"/>
        </w:rPr>
        <w:t>DOPLNÍ DODAVATEL</w:t>
      </w:r>
      <w:r w:rsidRPr="00A371C5">
        <w:rPr>
          <w:bCs/>
          <w:sz w:val="22"/>
          <w:szCs w:val="22"/>
          <w:highlight w:val="green"/>
        </w:rPr>
        <w:t xml:space="preserve"> – nejméně však 100 000</w:t>
      </w:r>
      <w:r w:rsidR="00933FE7" w:rsidRPr="00A371C5">
        <w:rPr>
          <w:bCs/>
          <w:sz w:val="22"/>
          <w:szCs w:val="22"/>
          <w:highlight w:val="green"/>
        </w:rPr>
        <w:t xml:space="preserve"> </w:t>
      </w:r>
      <w:r w:rsidRPr="00A371C5">
        <w:rPr>
          <w:bCs/>
          <w:sz w:val="22"/>
          <w:szCs w:val="22"/>
          <w:highlight w:val="green"/>
        </w:rPr>
        <w:t>km</w:t>
      </w:r>
      <w:r w:rsidR="00933FE7" w:rsidRPr="003306C5">
        <w:rPr>
          <w:bCs/>
          <w:sz w:val="22"/>
          <w:szCs w:val="22"/>
        </w:rPr>
        <w:t>)</w:t>
      </w:r>
      <w:r w:rsidRPr="003306C5">
        <w:rPr>
          <w:bCs/>
          <w:sz w:val="22"/>
          <w:szCs w:val="22"/>
        </w:rPr>
        <w:t xml:space="preserve"> (podle toho, co nastane dříve).</w:t>
      </w:r>
      <w:bookmarkEnd w:id="3"/>
    </w:p>
    <w:p w14:paraId="3363BF5F" w14:textId="76E0A337"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93072F" w:rsidRPr="003306C5">
        <w:rPr>
          <w:bCs/>
          <w:sz w:val="22"/>
          <w:szCs w:val="22"/>
        </w:rPr>
        <w:t xml:space="preserve">la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D146AD">
        <w:rPr>
          <w:bCs/>
          <w:sz w:val="22"/>
          <w:szCs w:val="22"/>
        </w:rPr>
        <w:t>V</w:t>
      </w:r>
      <w:r w:rsidR="00AD13DC" w:rsidRPr="003306C5">
        <w:rPr>
          <w:bCs/>
          <w:sz w:val="22"/>
          <w:szCs w:val="22"/>
        </w:rPr>
        <w:t>ady vozid</w:t>
      </w:r>
      <w:r w:rsidR="0093072F" w:rsidRPr="003306C5">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vozidla</w:t>
      </w:r>
      <w:r w:rsidR="0093072F" w:rsidRPr="003306C5">
        <w:rPr>
          <w:bCs/>
          <w:sz w:val="22"/>
          <w:szCs w:val="22"/>
        </w:rPr>
        <w:t>.</w:t>
      </w:r>
    </w:p>
    <w:p w14:paraId="14B17CA7" w14:textId="2CC6D15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D13DC" w:rsidRPr="003306C5">
        <w:rPr>
          <w:bCs/>
          <w:sz w:val="22"/>
          <w:szCs w:val="22"/>
        </w:rPr>
        <w:t>o</w:t>
      </w:r>
      <w:r w:rsidRPr="003306C5">
        <w:rPr>
          <w:bCs/>
          <w:sz w:val="22"/>
          <w:szCs w:val="22"/>
        </w:rPr>
        <w:t xml:space="preserve"> m</w:t>
      </w:r>
      <w:r w:rsidR="00AD13DC" w:rsidRPr="003306C5">
        <w:rPr>
          <w:bCs/>
          <w:sz w:val="22"/>
          <w:szCs w:val="22"/>
        </w:rPr>
        <w:t>á</w:t>
      </w:r>
      <w:r w:rsidR="00823AA6" w:rsidRPr="003306C5">
        <w:rPr>
          <w:bCs/>
          <w:sz w:val="22"/>
          <w:szCs w:val="22"/>
        </w:rPr>
        <w:t xml:space="preserve"> vady, jestliže nebyl</w:t>
      </w:r>
      <w:r w:rsidR="00127BF6" w:rsidRPr="003306C5">
        <w:rPr>
          <w:bCs/>
          <w:sz w:val="22"/>
          <w:szCs w:val="22"/>
        </w:rPr>
        <w:t>o</w:t>
      </w:r>
      <w:r w:rsidR="00823AA6" w:rsidRPr="003306C5">
        <w:rPr>
          <w:bCs/>
          <w:sz w:val="22"/>
          <w:szCs w:val="22"/>
        </w:rPr>
        <w:t xml:space="preserve"> dodán</w:t>
      </w:r>
      <w:r w:rsidR="00127BF6" w:rsidRPr="003306C5">
        <w:rPr>
          <w:bCs/>
          <w:sz w:val="22"/>
          <w:szCs w:val="22"/>
        </w:rPr>
        <w:t>o</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07928526"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 Kupující umožní Prodávajícímu prohlídku reklamovaného </w:t>
      </w:r>
      <w:r w:rsidR="00D146AD">
        <w:rPr>
          <w:bCs/>
          <w:sz w:val="22"/>
          <w:szCs w:val="22"/>
        </w:rPr>
        <w:t>V</w:t>
      </w:r>
      <w:r w:rsidR="003F7328" w:rsidRPr="003306C5">
        <w:rPr>
          <w:bCs/>
          <w:sz w:val="22"/>
          <w:szCs w:val="22"/>
        </w:rPr>
        <w:t xml:space="preserve">ozidla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ozidlo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zneprovoznění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lastRenderedPageBreak/>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248ADA03"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6F3FE0">
        <w:rPr>
          <w:bCs/>
          <w:sz w:val="22"/>
          <w:szCs w:val="22"/>
        </w:rPr>
        <w:t>u</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1355F8A4"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 xml:space="preserve">ozidlo ve lhůtě sjednané touto Smlouvou, je Prodávající povinen zaplatit Kupujícímu smluvní pokutu ve výši 0,2 % z ceny nedodaného </w:t>
      </w:r>
      <w:r w:rsidR="000A20D2">
        <w:rPr>
          <w:bCs/>
          <w:sz w:val="22"/>
          <w:szCs w:val="22"/>
        </w:rPr>
        <w:t xml:space="preserve">Vozidla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1B81A519" w:rsidR="002A2EAC" w:rsidRPr="00712AE1" w:rsidRDefault="002A2EAC" w:rsidP="002A2EAC">
      <w:pPr>
        <w:numPr>
          <w:ilvl w:val="0"/>
          <w:numId w:val="39"/>
        </w:numPr>
        <w:spacing w:after="120"/>
        <w:ind w:left="993"/>
        <w:rPr>
          <w:b/>
          <w:bCs/>
          <w:sz w:val="22"/>
          <w:szCs w:val="22"/>
        </w:rPr>
      </w:pPr>
      <w:r w:rsidRPr="00712AE1">
        <w:rPr>
          <w:b/>
          <w:bCs/>
          <w:sz w:val="22"/>
          <w:szCs w:val="22"/>
        </w:rPr>
        <w:t xml:space="preserve">příloha č. </w:t>
      </w:r>
      <w:r w:rsidR="00B95364">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B95364">
        <w:rPr>
          <w:bCs/>
          <w:i/>
          <w:iCs/>
          <w:sz w:val="22"/>
          <w:szCs w:val="22"/>
        </w:rPr>
        <w:t>2</w:t>
      </w:r>
      <w:r w:rsidRPr="00712AE1">
        <w:rPr>
          <w:bCs/>
          <w:i/>
          <w:iCs/>
          <w:sz w:val="22"/>
          <w:szCs w:val="22"/>
        </w:rPr>
        <w:t xml:space="preserve"> 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Pr="003306C5" w:rsidRDefault="00AA5CBA"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Pr="003306C5" w:rsidRDefault="00AA5CBA"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lastRenderedPageBreak/>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7CD88CE8" w:rsidR="00AA5CBA" w:rsidRPr="003306C5" w:rsidRDefault="00AA5CBA" w:rsidP="008D177E">
            <w:pPr>
              <w:rPr>
                <w:i/>
                <w:iCs/>
                <w:sz w:val="22"/>
                <w:szCs w:val="22"/>
              </w:rPr>
            </w:pPr>
            <w:r w:rsidRPr="003306C5">
              <w:rPr>
                <w:sz w:val="22"/>
                <w:szCs w:val="22"/>
              </w:rPr>
              <w:t>V</w:t>
            </w:r>
            <w:r w:rsidR="00C30672">
              <w:rPr>
                <w:sz w:val="22"/>
                <w:szCs w:val="22"/>
              </w:rPr>
              <w:t> </w:t>
            </w:r>
            <w:r w:rsidR="00C30672" w:rsidRPr="00C30672">
              <w:rPr>
                <w:sz w:val="22"/>
                <w:szCs w:val="22"/>
                <w:highlight w:val="green"/>
              </w:rPr>
              <w:t>doplní Prodávající</w:t>
            </w:r>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Pr="003306C5" w:rsidRDefault="00AA5CBA"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D804260" w14:textId="644B89E4" w:rsidR="00AA5CBA" w:rsidRPr="00653339" w:rsidRDefault="00C30672" w:rsidP="008D177E">
            <w:pPr>
              <w:pStyle w:val="Bezmezer"/>
              <w:jc w:val="center"/>
              <w:rPr>
                <w:rFonts w:ascii="Times New Roman" w:hAnsi="Times New Roman" w:cs="Times New Roman"/>
              </w:rPr>
            </w:pPr>
            <w:r w:rsidRPr="00653339">
              <w:rPr>
                <w:rFonts w:ascii="Times New Roman" w:hAnsi="Times New Roman" w:cs="Times New Roman"/>
                <w:highlight w:val="green"/>
              </w:rPr>
              <w:t>doplní Prodávající</w:t>
            </w:r>
          </w:p>
          <w:p w14:paraId="2C7F270E" w14:textId="77777777" w:rsidR="00AA5CBA" w:rsidRPr="003306C5" w:rsidRDefault="00AA5CBA" w:rsidP="008D177E">
            <w:pPr>
              <w:pStyle w:val="Bezmezer"/>
              <w:jc w:val="center"/>
              <w:rPr>
                <w:rFonts w:ascii="Times New Roman" w:hAnsi="Times New Roman" w:cs="Times New Roman"/>
              </w:rPr>
            </w:pP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9"/>
      <w:footerReference w:type="default" r:id="rId10"/>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9B72" w14:textId="77777777" w:rsidR="00D9009D" w:rsidRDefault="00D9009D">
      <w:r>
        <w:separator/>
      </w:r>
    </w:p>
  </w:endnote>
  <w:endnote w:type="continuationSeparator" w:id="0">
    <w:p w14:paraId="6DD005D2" w14:textId="77777777" w:rsidR="00D9009D" w:rsidRDefault="00D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B444" w14:textId="77777777" w:rsidR="00D9009D" w:rsidRDefault="00D9009D">
      <w:r>
        <w:separator/>
      </w:r>
    </w:p>
  </w:footnote>
  <w:footnote w:type="continuationSeparator" w:id="0">
    <w:p w14:paraId="23EBEE1A" w14:textId="77777777" w:rsidR="00D9009D" w:rsidRDefault="00D9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7821"/>
    <w:rsid w:val="000C27E9"/>
    <w:rsid w:val="000C3555"/>
    <w:rsid w:val="000C5D5A"/>
    <w:rsid w:val="000D58AA"/>
    <w:rsid w:val="000D6CF4"/>
    <w:rsid w:val="000E10A8"/>
    <w:rsid w:val="000E1979"/>
    <w:rsid w:val="000E29ED"/>
    <w:rsid w:val="000E4B48"/>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35BD"/>
    <w:rsid w:val="0023405B"/>
    <w:rsid w:val="00235264"/>
    <w:rsid w:val="00235418"/>
    <w:rsid w:val="00235DCE"/>
    <w:rsid w:val="00243A93"/>
    <w:rsid w:val="00243F6A"/>
    <w:rsid w:val="0024592A"/>
    <w:rsid w:val="00245CE7"/>
    <w:rsid w:val="002466D6"/>
    <w:rsid w:val="002471CA"/>
    <w:rsid w:val="0024747A"/>
    <w:rsid w:val="00256B2B"/>
    <w:rsid w:val="002606C7"/>
    <w:rsid w:val="00264CDB"/>
    <w:rsid w:val="00266436"/>
    <w:rsid w:val="002711EC"/>
    <w:rsid w:val="0027179C"/>
    <w:rsid w:val="00272640"/>
    <w:rsid w:val="00282A5D"/>
    <w:rsid w:val="00282BDF"/>
    <w:rsid w:val="002832F5"/>
    <w:rsid w:val="0028385F"/>
    <w:rsid w:val="00283BF1"/>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5216"/>
    <w:rsid w:val="00335457"/>
    <w:rsid w:val="0034549C"/>
    <w:rsid w:val="00346B57"/>
    <w:rsid w:val="0034754C"/>
    <w:rsid w:val="003570C5"/>
    <w:rsid w:val="00361F7A"/>
    <w:rsid w:val="003620C5"/>
    <w:rsid w:val="00363E0D"/>
    <w:rsid w:val="0036685A"/>
    <w:rsid w:val="00366C72"/>
    <w:rsid w:val="00374974"/>
    <w:rsid w:val="003761FA"/>
    <w:rsid w:val="0037620E"/>
    <w:rsid w:val="00382773"/>
    <w:rsid w:val="00384B79"/>
    <w:rsid w:val="00393340"/>
    <w:rsid w:val="00397A62"/>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6E49"/>
    <w:rsid w:val="00440132"/>
    <w:rsid w:val="00444C0C"/>
    <w:rsid w:val="0045074E"/>
    <w:rsid w:val="00450FC5"/>
    <w:rsid w:val="004570B2"/>
    <w:rsid w:val="00460498"/>
    <w:rsid w:val="00467D8F"/>
    <w:rsid w:val="004736B6"/>
    <w:rsid w:val="00473BA0"/>
    <w:rsid w:val="00474334"/>
    <w:rsid w:val="0047524E"/>
    <w:rsid w:val="00480506"/>
    <w:rsid w:val="00483C04"/>
    <w:rsid w:val="004845A1"/>
    <w:rsid w:val="00484BC2"/>
    <w:rsid w:val="00486C13"/>
    <w:rsid w:val="004879F5"/>
    <w:rsid w:val="00487E08"/>
    <w:rsid w:val="004901ED"/>
    <w:rsid w:val="00491951"/>
    <w:rsid w:val="00493EF4"/>
    <w:rsid w:val="00494A82"/>
    <w:rsid w:val="00494B58"/>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1F8"/>
    <w:rsid w:val="004F6D70"/>
    <w:rsid w:val="004F71CF"/>
    <w:rsid w:val="00500CBC"/>
    <w:rsid w:val="00503838"/>
    <w:rsid w:val="00503EFD"/>
    <w:rsid w:val="00505C69"/>
    <w:rsid w:val="0051120A"/>
    <w:rsid w:val="0051246A"/>
    <w:rsid w:val="005134E6"/>
    <w:rsid w:val="00517B27"/>
    <w:rsid w:val="0052138D"/>
    <w:rsid w:val="00521ABA"/>
    <w:rsid w:val="005224E8"/>
    <w:rsid w:val="00522ECC"/>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914A7"/>
    <w:rsid w:val="0059229F"/>
    <w:rsid w:val="005960D3"/>
    <w:rsid w:val="00596C43"/>
    <w:rsid w:val="005971C4"/>
    <w:rsid w:val="005A09BF"/>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1CB"/>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4E31"/>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357C3"/>
    <w:rsid w:val="008446CA"/>
    <w:rsid w:val="0084495F"/>
    <w:rsid w:val="008464C7"/>
    <w:rsid w:val="00846BA8"/>
    <w:rsid w:val="0084739C"/>
    <w:rsid w:val="00847C92"/>
    <w:rsid w:val="00852C4E"/>
    <w:rsid w:val="0085335C"/>
    <w:rsid w:val="00861DBA"/>
    <w:rsid w:val="008669F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3072F"/>
    <w:rsid w:val="00930AA3"/>
    <w:rsid w:val="009317F7"/>
    <w:rsid w:val="00933FE7"/>
    <w:rsid w:val="00944B4C"/>
    <w:rsid w:val="009450E4"/>
    <w:rsid w:val="00953C88"/>
    <w:rsid w:val="00954C42"/>
    <w:rsid w:val="0096021C"/>
    <w:rsid w:val="00960541"/>
    <w:rsid w:val="009612DE"/>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51BF"/>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5714C"/>
    <w:rsid w:val="00A62435"/>
    <w:rsid w:val="00A66421"/>
    <w:rsid w:val="00A66473"/>
    <w:rsid w:val="00A70D27"/>
    <w:rsid w:val="00A745F2"/>
    <w:rsid w:val="00A747AD"/>
    <w:rsid w:val="00A761DD"/>
    <w:rsid w:val="00A834AB"/>
    <w:rsid w:val="00A94018"/>
    <w:rsid w:val="00A960E9"/>
    <w:rsid w:val="00A96C12"/>
    <w:rsid w:val="00AA2582"/>
    <w:rsid w:val="00AA2A3B"/>
    <w:rsid w:val="00AA521F"/>
    <w:rsid w:val="00AA5CBA"/>
    <w:rsid w:val="00AA5DE1"/>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3878"/>
    <w:rsid w:val="00B06116"/>
    <w:rsid w:val="00B074C7"/>
    <w:rsid w:val="00B21306"/>
    <w:rsid w:val="00B256F7"/>
    <w:rsid w:val="00B258DB"/>
    <w:rsid w:val="00B3406B"/>
    <w:rsid w:val="00B37286"/>
    <w:rsid w:val="00B377DE"/>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364"/>
    <w:rsid w:val="00B95BED"/>
    <w:rsid w:val="00B96F4A"/>
    <w:rsid w:val="00BA2834"/>
    <w:rsid w:val="00BA5473"/>
    <w:rsid w:val="00BB04F5"/>
    <w:rsid w:val="00BB0F23"/>
    <w:rsid w:val="00BB1B71"/>
    <w:rsid w:val="00BB25A2"/>
    <w:rsid w:val="00BB370C"/>
    <w:rsid w:val="00BB390C"/>
    <w:rsid w:val="00BB6422"/>
    <w:rsid w:val="00BC1037"/>
    <w:rsid w:val="00BC627A"/>
    <w:rsid w:val="00BC6414"/>
    <w:rsid w:val="00BC660F"/>
    <w:rsid w:val="00BC7106"/>
    <w:rsid w:val="00BD2562"/>
    <w:rsid w:val="00BD36C5"/>
    <w:rsid w:val="00BD5A0C"/>
    <w:rsid w:val="00BD7257"/>
    <w:rsid w:val="00BE01A0"/>
    <w:rsid w:val="00BE27AA"/>
    <w:rsid w:val="00BE29C7"/>
    <w:rsid w:val="00BE4D2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6920"/>
    <w:rsid w:val="00C87992"/>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1825"/>
    <w:rsid w:val="00CE49A8"/>
    <w:rsid w:val="00CE4DC8"/>
    <w:rsid w:val="00CE6587"/>
    <w:rsid w:val="00CE6CB2"/>
    <w:rsid w:val="00CF1A20"/>
    <w:rsid w:val="00CF1AE3"/>
    <w:rsid w:val="00CF42F1"/>
    <w:rsid w:val="00CF7B98"/>
    <w:rsid w:val="00D03FE3"/>
    <w:rsid w:val="00D06DC9"/>
    <w:rsid w:val="00D100D1"/>
    <w:rsid w:val="00D14004"/>
    <w:rsid w:val="00D146AD"/>
    <w:rsid w:val="00D17E0F"/>
    <w:rsid w:val="00D24DCB"/>
    <w:rsid w:val="00D318F4"/>
    <w:rsid w:val="00D3201E"/>
    <w:rsid w:val="00D3428B"/>
    <w:rsid w:val="00D34C3C"/>
    <w:rsid w:val="00D40409"/>
    <w:rsid w:val="00D40709"/>
    <w:rsid w:val="00D441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798"/>
    <w:rsid w:val="00E37835"/>
    <w:rsid w:val="00E4221F"/>
    <w:rsid w:val="00E44B3B"/>
    <w:rsid w:val="00E5414D"/>
    <w:rsid w:val="00E543B5"/>
    <w:rsid w:val="00E559AF"/>
    <w:rsid w:val="00E61E93"/>
    <w:rsid w:val="00E64974"/>
    <w:rsid w:val="00E66CD5"/>
    <w:rsid w:val="00E7061D"/>
    <w:rsid w:val="00E74FE1"/>
    <w:rsid w:val="00E90F03"/>
    <w:rsid w:val="00E91336"/>
    <w:rsid w:val="00E91A36"/>
    <w:rsid w:val="00E93486"/>
    <w:rsid w:val="00EA1587"/>
    <w:rsid w:val="00EA6519"/>
    <w:rsid w:val="00EB1A21"/>
    <w:rsid w:val="00EB228A"/>
    <w:rsid w:val="00EB743F"/>
    <w:rsid w:val="00EC08D0"/>
    <w:rsid w:val="00EC4782"/>
    <w:rsid w:val="00EC5BA5"/>
    <w:rsid w:val="00EC736C"/>
    <w:rsid w:val="00ED1341"/>
    <w:rsid w:val="00ED481C"/>
    <w:rsid w:val="00ED53C9"/>
    <w:rsid w:val="00ED6082"/>
    <w:rsid w:val="00ED7AED"/>
    <w:rsid w:val="00EE11AD"/>
    <w:rsid w:val="00EE1FE2"/>
    <w:rsid w:val="00EE2343"/>
    <w:rsid w:val="00EE3E11"/>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61C6"/>
    <w:rsid w:val="00FA7C83"/>
    <w:rsid w:val="00FA7E2E"/>
    <w:rsid w:val="00FB492D"/>
    <w:rsid w:val="00FB50A9"/>
    <w:rsid w:val="00FB56A5"/>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2597</Words>
  <Characters>15627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Mitwallyová Helena</dc:creator>
  <cp:lastModifiedBy>Helcel Hana</cp:lastModifiedBy>
  <cp:revision>3</cp:revision>
  <dcterms:created xsi:type="dcterms:W3CDTF">2025-10-20T12:00:00Z</dcterms:created>
  <dcterms:modified xsi:type="dcterms:W3CDTF">2025-10-20T12:36:00Z</dcterms:modified>
</cp:coreProperties>
</file>