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B5" w:rsidRDefault="00DF798A">
      <w:pPr>
        <w:spacing w:before="77"/>
        <w:ind w:left="636"/>
        <w:rPr>
          <w:sz w:val="27"/>
        </w:rPr>
      </w:pPr>
      <w:bookmarkStart w:id="0" w:name="_GoBack"/>
      <w:bookmarkEnd w:id="0"/>
      <w:r>
        <w:rPr>
          <w:sz w:val="27"/>
        </w:rPr>
        <w:t>Sprchové</w:t>
      </w:r>
      <w:r>
        <w:rPr>
          <w:spacing w:val="-3"/>
          <w:sz w:val="27"/>
        </w:rPr>
        <w:t xml:space="preserve"> </w:t>
      </w:r>
      <w:r>
        <w:rPr>
          <w:sz w:val="27"/>
        </w:rPr>
        <w:t>křeslo</w:t>
      </w:r>
      <w:r>
        <w:rPr>
          <w:spacing w:val="-3"/>
          <w:sz w:val="27"/>
        </w:rPr>
        <w:t xml:space="preserve"> </w:t>
      </w:r>
      <w:r>
        <w:rPr>
          <w:b/>
          <w:sz w:val="27"/>
        </w:rPr>
        <w:t>CARENDO</w:t>
      </w:r>
      <w:r>
        <w:rPr>
          <w:b/>
          <w:spacing w:val="2"/>
          <w:sz w:val="27"/>
        </w:rPr>
        <w:t xml:space="preserve"> </w:t>
      </w:r>
      <w:r>
        <w:rPr>
          <w:sz w:val="27"/>
        </w:rPr>
        <w:t>: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before="283" w:line="241" w:lineRule="exact"/>
        <w:ind w:hanging="361"/>
        <w:rPr>
          <w:sz w:val="17"/>
        </w:rPr>
      </w:pPr>
      <w:r>
        <w:rPr>
          <w:sz w:val="17"/>
        </w:rPr>
        <w:t>Zádový</w:t>
      </w:r>
      <w:r>
        <w:rPr>
          <w:spacing w:val="-2"/>
          <w:sz w:val="17"/>
        </w:rPr>
        <w:t xml:space="preserve"> </w:t>
      </w:r>
      <w:r>
        <w:rPr>
          <w:sz w:val="17"/>
        </w:rPr>
        <w:t>polštář</w:t>
      </w:r>
      <w:r>
        <w:rPr>
          <w:spacing w:val="-2"/>
          <w:sz w:val="17"/>
        </w:rPr>
        <w:t xml:space="preserve"> </w:t>
      </w:r>
      <w:r>
        <w:rPr>
          <w:sz w:val="17"/>
        </w:rPr>
        <w:t>pro</w:t>
      </w:r>
      <w:r>
        <w:rPr>
          <w:spacing w:val="-1"/>
          <w:sz w:val="17"/>
        </w:rPr>
        <w:t xml:space="preserve"> </w:t>
      </w:r>
      <w:r>
        <w:rPr>
          <w:sz w:val="17"/>
        </w:rPr>
        <w:t>pohodlí</w:t>
      </w:r>
      <w:r>
        <w:rPr>
          <w:spacing w:val="-2"/>
          <w:sz w:val="17"/>
        </w:rPr>
        <w:t xml:space="preserve"> </w:t>
      </w:r>
      <w:r>
        <w:rPr>
          <w:sz w:val="17"/>
        </w:rPr>
        <w:t>klienta.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8" w:lineRule="exact"/>
        <w:ind w:hanging="361"/>
        <w:rPr>
          <w:sz w:val="17"/>
        </w:rPr>
      </w:pPr>
      <w:r>
        <w:rPr>
          <w:sz w:val="17"/>
        </w:rPr>
        <w:t>Vysoká opěra zad přecházející v opěru hlavy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zahloubením ve</w:t>
      </w:r>
      <w:r>
        <w:rPr>
          <w:spacing w:val="-2"/>
          <w:sz w:val="17"/>
        </w:rPr>
        <w:t xml:space="preserve"> </w:t>
      </w:r>
      <w:r>
        <w:rPr>
          <w:sz w:val="17"/>
        </w:rPr>
        <w:t>spodní</w:t>
      </w:r>
      <w:r>
        <w:rPr>
          <w:spacing w:val="-2"/>
          <w:sz w:val="17"/>
        </w:rPr>
        <w:t xml:space="preserve"> </w:t>
      </w:r>
      <w:r>
        <w:rPr>
          <w:sz w:val="17"/>
        </w:rPr>
        <w:t>části pro lepší komfort klienta.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5" w:lineRule="auto"/>
        <w:ind w:right="1111"/>
        <w:rPr>
          <w:sz w:val="17"/>
        </w:rPr>
      </w:pPr>
      <w:r>
        <w:rPr>
          <w:sz w:val="17"/>
        </w:rPr>
        <w:t>Funkce otvírání/nadzvednutí sedáku umožňující nadzvednutí hýždí a dovolující</w:t>
      </w:r>
      <w:r>
        <w:rPr>
          <w:spacing w:val="-57"/>
          <w:sz w:val="17"/>
        </w:rPr>
        <w:t xml:space="preserve"> </w:t>
      </w:r>
      <w:r>
        <w:rPr>
          <w:sz w:val="17"/>
        </w:rPr>
        <w:t>svlékání/oblékání, zlepšení přístupu při hygieně intimních partií zezadu, výměnu</w:t>
      </w:r>
      <w:r>
        <w:rPr>
          <w:spacing w:val="1"/>
          <w:sz w:val="17"/>
        </w:rPr>
        <w:t xml:space="preserve"> </w:t>
      </w:r>
      <w:r>
        <w:rPr>
          <w:sz w:val="17"/>
        </w:rPr>
        <w:t>inkontinentních</w:t>
      </w:r>
      <w:r>
        <w:rPr>
          <w:spacing w:val="-1"/>
          <w:sz w:val="17"/>
        </w:rPr>
        <w:t xml:space="preserve"> </w:t>
      </w:r>
      <w:r>
        <w:rPr>
          <w:sz w:val="17"/>
        </w:rPr>
        <w:t>kalhotek atd.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before="1" w:line="240" w:lineRule="exact"/>
        <w:ind w:hanging="361"/>
        <w:rPr>
          <w:sz w:val="17"/>
        </w:rPr>
      </w:pPr>
      <w:r>
        <w:rPr>
          <w:sz w:val="17"/>
        </w:rPr>
        <w:t>Výšková</w:t>
      </w:r>
      <w:r>
        <w:rPr>
          <w:spacing w:val="-4"/>
          <w:sz w:val="17"/>
        </w:rPr>
        <w:t xml:space="preserve"> </w:t>
      </w:r>
      <w:r>
        <w:rPr>
          <w:sz w:val="17"/>
        </w:rPr>
        <w:t>nastavitelnost</w:t>
      </w:r>
      <w:r>
        <w:rPr>
          <w:spacing w:val="-1"/>
          <w:sz w:val="17"/>
        </w:rPr>
        <w:t xml:space="preserve"> </w:t>
      </w:r>
      <w:r>
        <w:rPr>
          <w:sz w:val="17"/>
        </w:rPr>
        <w:t>dovolující</w:t>
      </w:r>
      <w:r>
        <w:rPr>
          <w:spacing w:val="-3"/>
          <w:sz w:val="17"/>
        </w:rPr>
        <w:t xml:space="preserve"> </w:t>
      </w:r>
      <w:r>
        <w:rPr>
          <w:sz w:val="17"/>
        </w:rPr>
        <w:t>správnou</w:t>
      </w:r>
      <w:r>
        <w:rPr>
          <w:spacing w:val="-1"/>
          <w:sz w:val="17"/>
        </w:rPr>
        <w:t xml:space="preserve"> </w:t>
      </w:r>
      <w:r>
        <w:rPr>
          <w:sz w:val="17"/>
        </w:rPr>
        <w:t>pracovní</w:t>
      </w:r>
      <w:r>
        <w:rPr>
          <w:spacing w:val="-3"/>
          <w:sz w:val="17"/>
        </w:rPr>
        <w:t xml:space="preserve"> </w:t>
      </w:r>
      <w:r>
        <w:rPr>
          <w:sz w:val="17"/>
        </w:rPr>
        <w:t>výšku</w:t>
      </w:r>
      <w:r>
        <w:rPr>
          <w:spacing w:val="-2"/>
          <w:sz w:val="17"/>
        </w:rPr>
        <w:t xml:space="preserve"> </w:t>
      </w:r>
      <w:r>
        <w:rPr>
          <w:sz w:val="17"/>
        </w:rPr>
        <w:t>pro</w:t>
      </w:r>
      <w:r>
        <w:rPr>
          <w:spacing w:val="-1"/>
          <w:sz w:val="17"/>
        </w:rPr>
        <w:t xml:space="preserve"> </w:t>
      </w:r>
      <w:r>
        <w:rPr>
          <w:sz w:val="17"/>
        </w:rPr>
        <w:t>dobrou</w:t>
      </w:r>
      <w:r>
        <w:rPr>
          <w:spacing w:val="-1"/>
          <w:sz w:val="17"/>
        </w:rPr>
        <w:t xml:space="preserve"> </w:t>
      </w:r>
      <w:r>
        <w:rPr>
          <w:sz w:val="17"/>
        </w:rPr>
        <w:t>ergonomii.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6" w:lineRule="exact"/>
        <w:ind w:hanging="361"/>
        <w:rPr>
          <w:sz w:val="17"/>
        </w:rPr>
      </w:pPr>
      <w:r>
        <w:rPr>
          <w:sz w:val="17"/>
        </w:rPr>
        <w:t>Sklopná</w:t>
      </w:r>
      <w:r>
        <w:rPr>
          <w:spacing w:val="-2"/>
          <w:sz w:val="17"/>
        </w:rPr>
        <w:t xml:space="preserve"> </w:t>
      </w:r>
      <w:r>
        <w:rPr>
          <w:sz w:val="17"/>
        </w:rPr>
        <w:t>pozice</w:t>
      </w:r>
      <w:r>
        <w:rPr>
          <w:spacing w:val="-1"/>
          <w:sz w:val="17"/>
        </w:rPr>
        <w:t xml:space="preserve"> </w:t>
      </w:r>
      <w:r>
        <w:rPr>
          <w:sz w:val="17"/>
        </w:rPr>
        <w:t>umožňující polohování</w:t>
      </w:r>
      <w:r>
        <w:rPr>
          <w:spacing w:val="-2"/>
          <w:sz w:val="17"/>
        </w:rPr>
        <w:t xml:space="preserve"> </w:t>
      </w:r>
      <w:r>
        <w:rPr>
          <w:sz w:val="17"/>
        </w:rPr>
        <w:t>klienta ze sedu do lehu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-2"/>
          <w:sz w:val="17"/>
        </w:rPr>
        <w:t xml:space="preserve"> </w:t>
      </w:r>
      <w:r>
        <w:rPr>
          <w:sz w:val="17"/>
        </w:rPr>
        <w:t>zpět</w:t>
      </w:r>
      <w:r>
        <w:rPr>
          <w:spacing w:val="-1"/>
          <w:sz w:val="17"/>
        </w:rPr>
        <w:t xml:space="preserve"> </w:t>
      </w:r>
      <w:r>
        <w:rPr>
          <w:sz w:val="17"/>
        </w:rPr>
        <w:t>při</w:t>
      </w:r>
      <w:r>
        <w:rPr>
          <w:spacing w:val="-2"/>
          <w:sz w:val="17"/>
        </w:rPr>
        <w:t xml:space="preserve"> </w:t>
      </w:r>
      <w:r>
        <w:rPr>
          <w:sz w:val="17"/>
        </w:rPr>
        <w:t xml:space="preserve">sprchování. Zlepšení přístupu při hygieně intimních partií zpředu 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8" w:lineRule="exact"/>
        <w:ind w:hanging="361"/>
        <w:rPr>
          <w:sz w:val="17"/>
        </w:rPr>
      </w:pPr>
      <w:r>
        <w:rPr>
          <w:sz w:val="17"/>
        </w:rPr>
        <w:t>Dálkový</w:t>
      </w:r>
      <w:r>
        <w:rPr>
          <w:spacing w:val="-1"/>
          <w:sz w:val="17"/>
        </w:rPr>
        <w:t xml:space="preserve"> </w:t>
      </w:r>
      <w:r>
        <w:rPr>
          <w:sz w:val="17"/>
        </w:rPr>
        <w:t>ovladač</w:t>
      </w:r>
      <w:r>
        <w:rPr>
          <w:spacing w:val="-1"/>
          <w:sz w:val="17"/>
        </w:rPr>
        <w:t xml:space="preserve"> </w:t>
      </w:r>
      <w:r>
        <w:rPr>
          <w:sz w:val="17"/>
        </w:rPr>
        <w:t>všech</w:t>
      </w:r>
      <w:r>
        <w:rPr>
          <w:spacing w:val="-1"/>
          <w:sz w:val="17"/>
        </w:rPr>
        <w:t xml:space="preserve"> </w:t>
      </w:r>
      <w:r>
        <w:rPr>
          <w:sz w:val="17"/>
        </w:rPr>
        <w:t>funkcí</w:t>
      </w:r>
      <w:r>
        <w:rPr>
          <w:spacing w:val="-2"/>
          <w:sz w:val="17"/>
        </w:rPr>
        <w:t xml:space="preserve"> </w:t>
      </w:r>
      <w:r>
        <w:rPr>
          <w:sz w:val="17"/>
        </w:rPr>
        <w:t>se</w:t>
      </w:r>
      <w:r>
        <w:rPr>
          <w:spacing w:val="-2"/>
          <w:sz w:val="17"/>
        </w:rPr>
        <w:t xml:space="preserve"> </w:t>
      </w:r>
      <w:r>
        <w:rPr>
          <w:sz w:val="17"/>
        </w:rPr>
        <w:t>snadno</w:t>
      </w:r>
      <w:r>
        <w:rPr>
          <w:spacing w:val="-1"/>
          <w:sz w:val="17"/>
        </w:rPr>
        <w:t xml:space="preserve"> </w:t>
      </w:r>
      <w:r>
        <w:rPr>
          <w:sz w:val="17"/>
        </w:rPr>
        <w:t>srozumitelnými symboly.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6" w:lineRule="exact"/>
        <w:ind w:hanging="361"/>
        <w:rPr>
          <w:sz w:val="17"/>
        </w:rPr>
      </w:pPr>
      <w:r>
        <w:rPr>
          <w:sz w:val="17"/>
        </w:rPr>
        <w:t>Zvukový</w:t>
      </w:r>
      <w:r>
        <w:rPr>
          <w:spacing w:val="-2"/>
          <w:sz w:val="17"/>
        </w:rPr>
        <w:t xml:space="preserve"> </w:t>
      </w:r>
      <w:r>
        <w:rPr>
          <w:sz w:val="17"/>
        </w:rPr>
        <w:t>signál</w:t>
      </w:r>
      <w:r>
        <w:rPr>
          <w:spacing w:val="-2"/>
          <w:sz w:val="17"/>
        </w:rPr>
        <w:t xml:space="preserve"> </w:t>
      </w:r>
      <w:r>
        <w:rPr>
          <w:sz w:val="17"/>
        </w:rPr>
        <w:t>nízkého</w:t>
      </w:r>
      <w:r>
        <w:rPr>
          <w:spacing w:val="-2"/>
          <w:sz w:val="17"/>
        </w:rPr>
        <w:t xml:space="preserve"> </w:t>
      </w:r>
      <w:r>
        <w:rPr>
          <w:sz w:val="17"/>
        </w:rPr>
        <w:t>nabití</w:t>
      </w:r>
      <w:r>
        <w:rPr>
          <w:spacing w:val="-2"/>
          <w:sz w:val="17"/>
        </w:rPr>
        <w:t xml:space="preserve"> </w:t>
      </w:r>
      <w:r>
        <w:rPr>
          <w:sz w:val="17"/>
        </w:rPr>
        <w:t>baterie.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before="3" w:line="230" w:lineRule="auto"/>
        <w:ind w:right="1010"/>
        <w:rPr>
          <w:sz w:val="17"/>
        </w:rPr>
      </w:pPr>
      <w:r>
        <w:rPr>
          <w:sz w:val="17"/>
        </w:rPr>
        <w:t xml:space="preserve">2 sady 24V baterií s </w:t>
      </w:r>
      <w:proofErr w:type="spellStart"/>
      <w:r>
        <w:rPr>
          <w:sz w:val="17"/>
        </w:rPr>
        <w:t>NiMH</w:t>
      </w:r>
      <w:proofErr w:type="spellEnd"/>
      <w:r>
        <w:rPr>
          <w:sz w:val="17"/>
        </w:rPr>
        <w:t>-technikou (</w:t>
      </w:r>
      <w:proofErr w:type="spellStart"/>
      <w:r>
        <w:rPr>
          <w:sz w:val="17"/>
        </w:rPr>
        <w:t>nickel</w:t>
      </w:r>
      <w:proofErr w:type="spellEnd"/>
      <w:r>
        <w:rPr>
          <w:sz w:val="17"/>
        </w:rPr>
        <w:t>-metal hydride), nabíjitelné v každé</w:t>
      </w:r>
      <w:r>
        <w:rPr>
          <w:spacing w:val="-57"/>
          <w:sz w:val="17"/>
        </w:rPr>
        <w:t xml:space="preserve"> </w:t>
      </w:r>
      <w:r>
        <w:rPr>
          <w:sz w:val="17"/>
        </w:rPr>
        <w:t>úrovni.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before="3" w:line="242" w:lineRule="exact"/>
        <w:ind w:hanging="361"/>
        <w:rPr>
          <w:sz w:val="17"/>
        </w:rPr>
      </w:pPr>
      <w:r>
        <w:rPr>
          <w:sz w:val="17"/>
        </w:rPr>
        <w:t>Nouzové</w:t>
      </w:r>
      <w:r>
        <w:rPr>
          <w:spacing w:val="-3"/>
          <w:sz w:val="17"/>
        </w:rPr>
        <w:t xml:space="preserve"> </w:t>
      </w:r>
      <w:r>
        <w:rPr>
          <w:sz w:val="17"/>
        </w:rPr>
        <w:t>spouštění.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7" w:lineRule="exact"/>
        <w:ind w:hanging="361"/>
        <w:rPr>
          <w:sz w:val="17"/>
        </w:rPr>
      </w:pPr>
      <w:r>
        <w:rPr>
          <w:sz w:val="17"/>
        </w:rPr>
        <w:t>Nouzové</w:t>
      </w:r>
      <w:r>
        <w:rPr>
          <w:spacing w:val="-3"/>
          <w:sz w:val="17"/>
        </w:rPr>
        <w:t xml:space="preserve"> </w:t>
      </w:r>
      <w:r>
        <w:rPr>
          <w:sz w:val="17"/>
        </w:rPr>
        <w:t>zastavení.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6" w:lineRule="exact"/>
        <w:ind w:hanging="361"/>
        <w:rPr>
          <w:sz w:val="17"/>
        </w:rPr>
      </w:pPr>
      <w:r>
        <w:rPr>
          <w:sz w:val="17"/>
        </w:rPr>
        <w:t>Bezpečnostní</w:t>
      </w:r>
      <w:r>
        <w:rPr>
          <w:spacing w:val="-2"/>
          <w:sz w:val="17"/>
        </w:rPr>
        <w:t xml:space="preserve"> </w:t>
      </w:r>
      <w:r>
        <w:rPr>
          <w:sz w:val="17"/>
        </w:rPr>
        <w:t>pás.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8" w:lineRule="exact"/>
        <w:ind w:hanging="361"/>
        <w:rPr>
          <w:sz w:val="17"/>
        </w:rPr>
      </w:pPr>
      <w:r>
        <w:rPr>
          <w:sz w:val="17"/>
        </w:rPr>
        <w:t>Zvedací</w:t>
      </w:r>
      <w:r>
        <w:rPr>
          <w:spacing w:val="-2"/>
          <w:sz w:val="17"/>
        </w:rPr>
        <w:t xml:space="preserve"> </w:t>
      </w:r>
      <w:r>
        <w:rPr>
          <w:sz w:val="17"/>
        </w:rPr>
        <w:t>kapacita:</w:t>
      </w:r>
      <w:r>
        <w:rPr>
          <w:spacing w:val="57"/>
          <w:sz w:val="17"/>
        </w:rPr>
        <w:t xml:space="preserve"> </w:t>
      </w:r>
      <w:r>
        <w:rPr>
          <w:sz w:val="17"/>
        </w:rPr>
        <w:t>min. 140</w:t>
      </w:r>
      <w:r>
        <w:rPr>
          <w:spacing w:val="-4"/>
          <w:sz w:val="17"/>
        </w:rPr>
        <w:t xml:space="preserve"> </w:t>
      </w:r>
      <w:r>
        <w:rPr>
          <w:sz w:val="17"/>
        </w:rPr>
        <w:t>kg.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6" w:lineRule="exact"/>
        <w:ind w:hanging="361"/>
        <w:rPr>
          <w:sz w:val="17"/>
        </w:rPr>
      </w:pPr>
      <w:r>
        <w:rPr>
          <w:sz w:val="17"/>
        </w:rPr>
        <w:t>Možnost</w:t>
      </w:r>
      <w:r>
        <w:rPr>
          <w:spacing w:val="-1"/>
          <w:sz w:val="17"/>
        </w:rPr>
        <w:t xml:space="preserve"> </w:t>
      </w:r>
      <w:r>
        <w:rPr>
          <w:sz w:val="17"/>
        </w:rPr>
        <w:t>založení</w:t>
      </w:r>
      <w:r>
        <w:rPr>
          <w:spacing w:val="-2"/>
          <w:sz w:val="17"/>
        </w:rPr>
        <w:t xml:space="preserve"> </w:t>
      </w:r>
      <w:r>
        <w:rPr>
          <w:sz w:val="17"/>
        </w:rPr>
        <w:t>podložní</w:t>
      </w:r>
      <w:r>
        <w:rPr>
          <w:spacing w:val="-2"/>
          <w:sz w:val="17"/>
        </w:rPr>
        <w:t xml:space="preserve"> </w:t>
      </w:r>
      <w:r>
        <w:rPr>
          <w:sz w:val="17"/>
        </w:rPr>
        <w:t>mísy</w:t>
      </w:r>
    </w:p>
    <w:p w:rsidR="00DF798A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6" w:lineRule="exact"/>
        <w:ind w:hanging="361"/>
        <w:rPr>
          <w:sz w:val="17"/>
        </w:rPr>
      </w:pPr>
      <w:r>
        <w:rPr>
          <w:sz w:val="17"/>
        </w:rPr>
        <w:t>Hygienický design</w:t>
      </w:r>
    </w:p>
    <w:p w:rsidR="00E260B5" w:rsidRDefault="00E260B5">
      <w:pPr>
        <w:pStyle w:val="Zkladntext"/>
        <w:ind w:left="0"/>
        <w:rPr>
          <w:sz w:val="24"/>
        </w:rPr>
      </w:pPr>
    </w:p>
    <w:p w:rsidR="00E260B5" w:rsidRDefault="00E260B5">
      <w:pPr>
        <w:pStyle w:val="Zkladntext"/>
        <w:ind w:left="0"/>
        <w:rPr>
          <w:sz w:val="24"/>
        </w:rPr>
      </w:pPr>
    </w:p>
    <w:p w:rsidR="00E260B5" w:rsidRDefault="00DF798A">
      <w:pPr>
        <w:pStyle w:val="Nadpis1"/>
        <w:spacing w:before="176"/>
      </w:pPr>
      <w:r>
        <w:t>Klíčové</w:t>
      </w:r>
      <w:r>
        <w:rPr>
          <w:spacing w:val="-3"/>
        </w:rPr>
        <w:t xml:space="preserve"> </w:t>
      </w:r>
      <w:r>
        <w:t>body</w:t>
      </w:r>
    </w:p>
    <w:p w:rsidR="00E260B5" w:rsidRDefault="00E260B5">
      <w:pPr>
        <w:pStyle w:val="Zkladntext"/>
        <w:spacing w:before="8"/>
        <w:ind w:left="0"/>
        <w:rPr>
          <w:b/>
          <w:sz w:val="23"/>
        </w:rPr>
      </w:pP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line="230" w:lineRule="auto"/>
        <w:ind w:right="914"/>
        <w:rPr>
          <w:sz w:val="17"/>
        </w:rPr>
      </w:pPr>
      <w:r>
        <w:rPr>
          <w:sz w:val="17"/>
        </w:rPr>
        <w:t>Funkce otvírání sedáku je unikátní, protože nadzvedává zadní část klientova těla</w:t>
      </w:r>
      <w:r>
        <w:rPr>
          <w:spacing w:val="-57"/>
          <w:sz w:val="17"/>
        </w:rPr>
        <w:t xml:space="preserve"> </w:t>
      </w:r>
      <w:r>
        <w:rPr>
          <w:sz w:val="17"/>
        </w:rPr>
        <w:t>dovolující</w:t>
      </w:r>
      <w:r>
        <w:rPr>
          <w:spacing w:val="-2"/>
          <w:sz w:val="17"/>
        </w:rPr>
        <w:t xml:space="preserve"> </w:t>
      </w:r>
      <w:r>
        <w:rPr>
          <w:sz w:val="17"/>
        </w:rPr>
        <w:t>snadný a</w:t>
      </w:r>
      <w:r>
        <w:rPr>
          <w:spacing w:val="-1"/>
          <w:sz w:val="17"/>
        </w:rPr>
        <w:t xml:space="preserve"> </w:t>
      </w:r>
      <w:r>
        <w:rPr>
          <w:sz w:val="17"/>
        </w:rPr>
        <w:t>diskrétní</w:t>
      </w:r>
      <w:r>
        <w:rPr>
          <w:spacing w:val="1"/>
          <w:sz w:val="17"/>
        </w:rPr>
        <w:t xml:space="preserve"> </w:t>
      </w:r>
      <w:r>
        <w:rPr>
          <w:sz w:val="17"/>
        </w:rPr>
        <w:t>přistup</w:t>
      </w:r>
      <w:r>
        <w:rPr>
          <w:spacing w:val="-1"/>
          <w:sz w:val="17"/>
        </w:rPr>
        <w:t xml:space="preserve"> </w:t>
      </w:r>
      <w:r>
        <w:rPr>
          <w:sz w:val="17"/>
        </w:rPr>
        <w:t>k intimním hygienickým</w:t>
      </w:r>
      <w:r>
        <w:rPr>
          <w:spacing w:val="-1"/>
          <w:sz w:val="17"/>
        </w:rPr>
        <w:t xml:space="preserve"> </w:t>
      </w:r>
      <w:r>
        <w:rPr>
          <w:sz w:val="17"/>
        </w:rPr>
        <w:t>úkonům.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before="2" w:line="241" w:lineRule="exact"/>
        <w:ind w:hanging="361"/>
        <w:rPr>
          <w:sz w:val="17"/>
        </w:rPr>
      </w:pPr>
      <w:r>
        <w:rPr>
          <w:sz w:val="17"/>
        </w:rPr>
        <w:t>Dálkový</w:t>
      </w:r>
      <w:r>
        <w:rPr>
          <w:spacing w:val="-2"/>
          <w:sz w:val="17"/>
        </w:rPr>
        <w:t xml:space="preserve"> </w:t>
      </w:r>
      <w:r>
        <w:rPr>
          <w:sz w:val="17"/>
        </w:rPr>
        <w:t>ovladač</w:t>
      </w:r>
      <w:r>
        <w:rPr>
          <w:spacing w:val="-1"/>
          <w:sz w:val="17"/>
        </w:rPr>
        <w:t xml:space="preserve"> </w:t>
      </w:r>
      <w:r>
        <w:rPr>
          <w:sz w:val="17"/>
        </w:rPr>
        <w:t>poskytuje</w:t>
      </w:r>
      <w:r>
        <w:rPr>
          <w:spacing w:val="-2"/>
          <w:sz w:val="17"/>
        </w:rPr>
        <w:t xml:space="preserve"> </w:t>
      </w:r>
      <w:r>
        <w:rPr>
          <w:sz w:val="17"/>
        </w:rPr>
        <w:t>pečovateli</w:t>
      </w:r>
      <w:r>
        <w:rPr>
          <w:spacing w:val="-2"/>
          <w:sz w:val="17"/>
        </w:rPr>
        <w:t xml:space="preserve"> </w:t>
      </w:r>
      <w:r>
        <w:rPr>
          <w:sz w:val="17"/>
        </w:rPr>
        <w:t>úplnou</w:t>
      </w:r>
      <w:r>
        <w:rPr>
          <w:spacing w:val="-1"/>
          <w:sz w:val="17"/>
        </w:rPr>
        <w:t xml:space="preserve"> </w:t>
      </w:r>
      <w:r>
        <w:rPr>
          <w:sz w:val="17"/>
        </w:rPr>
        <w:t>kontrolu</w:t>
      </w:r>
      <w:r>
        <w:rPr>
          <w:spacing w:val="-1"/>
          <w:sz w:val="17"/>
        </w:rPr>
        <w:t xml:space="preserve"> </w:t>
      </w:r>
      <w:r>
        <w:rPr>
          <w:sz w:val="17"/>
        </w:rPr>
        <w:t>nad</w:t>
      </w:r>
      <w:r>
        <w:rPr>
          <w:spacing w:val="-3"/>
          <w:sz w:val="17"/>
        </w:rPr>
        <w:t xml:space="preserve"> </w:t>
      </w:r>
      <w:r>
        <w:rPr>
          <w:sz w:val="17"/>
        </w:rPr>
        <w:t>všemi</w:t>
      </w:r>
      <w:r>
        <w:rPr>
          <w:spacing w:val="-2"/>
          <w:sz w:val="17"/>
        </w:rPr>
        <w:t xml:space="preserve"> </w:t>
      </w:r>
      <w:r>
        <w:rPr>
          <w:sz w:val="17"/>
        </w:rPr>
        <w:t>baterií</w:t>
      </w:r>
    </w:p>
    <w:p w:rsidR="00E260B5" w:rsidRDefault="00DF798A">
      <w:pPr>
        <w:pStyle w:val="Zkladntext"/>
        <w:spacing w:line="203" w:lineRule="exact"/>
      </w:pPr>
      <w:r>
        <w:t>poháněnými</w:t>
      </w:r>
      <w:r>
        <w:rPr>
          <w:spacing w:val="-2"/>
        </w:rPr>
        <w:t xml:space="preserve"> </w:t>
      </w:r>
      <w:r>
        <w:t>funkcemi</w:t>
      </w:r>
      <w:r>
        <w:rPr>
          <w:spacing w:val="-2"/>
        </w:rPr>
        <w:t xml:space="preserve"> </w:t>
      </w:r>
      <w:r>
        <w:t>zvedání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spouštění, polohování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rozevírání</w:t>
      </w:r>
      <w:r>
        <w:rPr>
          <w:spacing w:val="-2"/>
        </w:rPr>
        <w:t xml:space="preserve"> </w:t>
      </w:r>
      <w:r>
        <w:t>sedáku.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before="9" w:line="230" w:lineRule="auto"/>
        <w:ind w:right="1057"/>
        <w:rPr>
          <w:sz w:val="17"/>
        </w:rPr>
      </w:pPr>
      <w:r>
        <w:rPr>
          <w:sz w:val="17"/>
        </w:rPr>
        <w:t>Vysoká zádová opěra a masivní pod loketní opěrky poskytují klientovi optimální</w:t>
      </w:r>
      <w:r>
        <w:rPr>
          <w:spacing w:val="-57"/>
          <w:sz w:val="17"/>
        </w:rPr>
        <w:t xml:space="preserve"> </w:t>
      </w:r>
      <w:r>
        <w:rPr>
          <w:sz w:val="17"/>
        </w:rPr>
        <w:t>oporu</w:t>
      </w:r>
      <w:r>
        <w:rPr>
          <w:spacing w:val="-1"/>
          <w:sz w:val="17"/>
        </w:rPr>
        <w:t xml:space="preserve"> </w:t>
      </w:r>
      <w:r>
        <w:rPr>
          <w:sz w:val="17"/>
        </w:rPr>
        <w:t>a</w:t>
      </w:r>
      <w:r>
        <w:rPr>
          <w:spacing w:val="1"/>
          <w:sz w:val="17"/>
        </w:rPr>
        <w:t xml:space="preserve"> </w:t>
      </w:r>
      <w:r>
        <w:rPr>
          <w:sz w:val="17"/>
        </w:rPr>
        <w:t>bezpečnost.</w:t>
      </w:r>
    </w:p>
    <w:p w:rsidR="00E260B5" w:rsidRDefault="00DF798A">
      <w:pPr>
        <w:pStyle w:val="Odstavecseseznamem"/>
        <w:numPr>
          <w:ilvl w:val="0"/>
          <w:numId w:val="1"/>
        </w:numPr>
        <w:tabs>
          <w:tab w:val="left" w:pos="2556"/>
          <w:tab w:val="left" w:pos="2557"/>
        </w:tabs>
        <w:spacing w:before="8" w:line="230" w:lineRule="auto"/>
        <w:ind w:right="719"/>
        <w:rPr>
          <w:sz w:val="17"/>
        </w:rPr>
      </w:pPr>
      <w:r>
        <w:rPr>
          <w:sz w:val="17"/>
        </w:rPr>
        <w:t>Sklopená poloha poskytuje pečovateli úplný přístup k většině částí těla klienta, pro</w:t>
      </w:r>
      <w:r>
        <w:rPr>
          <w:spacing w:val="-57"/>
          <w:sz w:val="17"/>
        </w:rPr>
        <w:t xml:space="preserve"> </w:t>
      </w:r>
      <w:r>
        <w:rPr>
          <w:sz w:val="17"/>
        </w:rPr>
        <w:t>kterého</w:t>
      </w:r>
      <w:r>
        <w:rPr>
          <w:spacing w:val="-1"/>
          <w:sz w:val="17"/>
        </w:rPr>
        <w:t xml:space="preserve"> </w:t>
      </w:r>
      <w:r>
        <w:rPr>
          <w:sz w:val="17"/>
        </w:rPr>
        <w:t>je</w:t>
      </w:r>
      <w:r>
        <w:rPr>
          <w:spacing w:val="-1"/>
          <w:sz w:val="17"/>
        </w:rPr>
        <w:t xml:space="preserve"> </w:t>
      </w:r>
      <w:r>
        <w:rPr>
          <w:sz w:val="17"/>
        </w:rPr>
        <w:t>i</w:t>
      </w:r>
      <w:r>
        <w:rPr>
          <w:spacing w:val="-1"/>
          <w:sz w:val="17"/>
        </w:rPr>
        <w:t xml:space="preserve"> </w:t>
      </w:r>
      <w:r>
        <w:rPr>
          <w:sz w:val="17"/>
        </w:rPr>
        <w:t>velmi</w:t>
      </w:r>
      <w:r>
        <w:rPr>
          <w:spacing w:val="-1"/>
          <w:sz w:val="17"/>
        </w:rPr>
        <w:t xml:space="preserve"> </w:t>
      </w:r>
      <w:r>
        <w:rPr>
          <w:sz w:val="17"/>
        </w:rPr>
        <w:t>pohodlná.</w:t>
      </w:r>
    </w:p>
    <w:p w:rsidR="00E260B5" w:rsidRDefault="00E260B5">
      <w:pPr>
        <w:pStyle w:val="Zkladntext"/>
        <w:spacing w:before="3"/>
        <w:ind w:left="0"/>
        <w:rPr>
          <w:sz w:val="23"/>
        </w:rPr>
      </w:pPr>
    </w:p>
    <w:p w:rsidR="00E260B5" w:rsidRDefault="00E260B5">
      <w:pPr>
        <w:pStyle w:val="Zkladntext"/>
        <w:ind w:left="0"/>
        <w:rPr>
          <w:sz w:val="20"/>
        </w:rPr>
      </w:pPr>
    </w:p>
    <w:p w:rsidR="00DF798A" w:rsidRDefault="00DF798A" w:rsidP="00DF798A">
      <w:pPr>
        <w:spacing w:before="100" w:beforeAutospacing="1" w:after="100" w:afterAutospacing="1"/>
        <w:ind w:left="720"/>
        <w:rPr>
          <w:rFonts w:ascii="Calibri" w:hAnsi="Calibri" w:cs="Calibri"/>
          <w:color w:val="FF0000"/>
        </w:rPr>
      </w:pPr>
      <w:r>
        <w:rPr>
          <w:rFonts w:ascii="Calibri" w:hAnsi="Calibri" w:cs="Calibri"/>
          <w:b/>
          <w:color w:val="FF0000"/>
        </w:rPr>
        <w:t>Pozn.</w:t>
      </w:r>
      <w:r>
        <w:rPr>
          <w:rFonts w:ascii="Calibri" w:hAnsi="Calibri" w:cs="Calibri"/>
          <w:color w:val="FF0000"/>
        </w:rPr>
        <w:t xml:space="preserve"> Prokázaní požadovaných vlastností/specifikací zadavatel požaduje doložit oficiálními dokumenty (technický list výrobce, návod k obsluze CZ) anebo zapůjčením nabízeného výrobku</w:t>
      </w:r>
    </w:p>
    <w:p w:rsidR="00E260B5" w:rsidRDefault="00E260B5">
      <w:pPr>
        <w:pStyle w:val="Zkladntext"/>
        <w:ind w:left="0"/>
        <w:rPr>
          <w:sz w:val="20"/>
        </w:rPr>
      </w:pPr>
    </w:p>
    <w:p w:rsidR="00E260B5" w:rsidRDefault="00DF798A">
      <w:pPr>
        <w:pStyle w:val="Zkladntext"/>
        <w:ind w:left="0"/>
        <w:rPr>
          <w:sz w:val="16"/>
        </w:rPr>
      </w:pPr>
      <w:r>
        <w:rPr>
          <w:noProof/>
          <w:lang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565150</wp:posOffset>
            </wp:positionH>
            <wp:positionV relativeFrom="paragraph">
              <wp:posOffset>148763</wp:posOffset>
            </wp:positionV>
            <wp:extent cx="1617163" cy="163972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7163" cy="163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2880360</wp:posOffset>
            </wp:positionH>
            <wp:positionV relativeFrom="paragraph">
              <wp:posOffset>148763</wp:posOffset>
            </wp:positionV>
            <wp:extent cx="1595428" cy="164591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5428" cy="164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5358129</wp:posOffset>
            </wp:positionH>
            <wp:positionV relativeFrom="paragraph">
              <wp:posOffset>148763</wp:posOffset>
            </wp:positionV>
            <wp:extent cx="1639728" cy="163972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9728" cy="163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260B5">
      <w:type w:val="continuous"/>
      <w:pgSz w:w="11910" w:h="16840"/>
      <w:pgMar w:top="1320" w:right="7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310"/>
    <w:multiLevelType w:val="hybridMultilevel"/>
    <w:tmpl w:val="9E220AD0"/>
    <w:lvl w:ilvl="0" w:tplc="0DDE457A">
      <w:numFmt w:val="bullet"/>
      <w:lvlText w:val=""/>
      <w:lvlJc w:val="left"/>
      <w:pPr>
        <w:ind w:left="2556" w:hanging="360"/>
      </w:pPr>
      <w:rPr>
        <w:rFonts w:ascii="Symbol" w:eastAsia="Symbol" w:hAnsi="Symbol" w:cs="Symbol" w:hint="default"/>
        <w:w w:val="99"/>
        <w:sz w:val="20"/>
        <w:szCs w:val="20"/>
        <w:lang w:val="cs-CZ" w:eastAsia="en-US" w:bidi="ar-SA"/>
      </w:rPr>
    </w:lvl>
    <w:lvl w:ilvl="1" w:tplc="C44AC544">
      <w:numFmt w:val="bullet"/>
      <w:lvlText w:val="•"/>
      <w:lvlJc w:val="left"/>
      <w:pPr>
        <w:ind w:left="3342" w:hanging="360"/>
      </w:pPr>
      <w:rPr>
        <w:rFonts w:hint="default"/>
        <w:lang w:val="cs-CZ" w:eastAsia="en-US" w:bidi="ar-SA"/>
      </w:rPr>
    </w:lvl>
    <w:lvl w:ilvl="2" w:tplc="75BAE99A">
      <w:numFmt w:val="bullet"/>
      <w:lvlText w:val="•"/>
      <w:lvlJc w:val="left"/>
      <w:pPr>
        <w:ind w:left="4125" w:hanging="360"/>
      </w:pPr>
      <w:rPr>
        <w:rFonts w:hint="default"/>
        <w:lang w:val="cs-CZ" w:eastAsia="en-US" w:bidi="ar-SA"/>
      </w:rPr>
    </w:lvl>
    <w:lvl w:ilvl="3" w:tplc="51386496">
      <w:numFmt w:val="bullet"/>
      <w:lvlText w:val="•"/>
      <w:lvlJc w:val="left"/>
      <w:pPr>
        <w:ind w:left="4907" w:hanging="360"/>
      </w:pPr>
      <w:rPr>
        <w:rFonts w:hint="default"/>
        <w:lang w:val="cs-CZ" w:eastAsia="en-US" w:bidi="ar-SA"/>
      </w:rPr>
    </w:lvl>
    <w:lvl w:ilvl="4" w:tplc="2DAC722A">
      <w:numFmt w:val="bullet"/>
      <w:lvlText w:val="•"/>
      <w:lvlJc w:val="left"/>
      <w:pPr>
        <w:ind w:left="5690" w:hanging="360"/>
      </w:pPr>
      <w:rPr>
        <w:rFonts w:hint="default"/>
        <w:lang w:val="cs-CZ" w:eastAsia="en-US" w:bidi="ar-SA"/>
      </w:rPr>
    </w:lvl>
    <w:lvl w:ilvl="5" w:tplc="4FFA7F42">
      <w:numFmt w:val="bullet"/>
      <w:lvlText w:val="•"/>
      <w:lvlJc w:val="left"/>
      <w:pPr>
        <w:ind w:left="6473" w:hanging="360"/>
      </w:pPr>
      <w:rPr>
        <w:rFonts w:hint="default"/>
        <w:lang w:val="cs-CZ" w:eastAsia="en-US" w:bidi="ar-SA"/>
      </w:rPr>
    </w:lvl>
    <w:lvl w:ilvl="6" w:tplc="984E7250">
      <w:numFmt w:val="bullet"/>
      <w:lvlText w:val="•"/>
      <w:lvlJc w:val="left"/>
      <w:pPr>
        <w:ind w:left="7255" w:hanging="360"/>
      </w:pPr>
      <w:rPr>
        <w:rFonts w:hint="default"/>
        <w:lang w:val="cs-CZ" w:eastAsia="en-US" w:bidi="ar-SA"/>
      </w:rPr>
    </w:lvl>
    <w:lvl w:ilvl="7" w:tplc="08DAD528">
      <w:numFmt w:val="bullet"/>
      <w:lvlText w:val="•"/>
      <w:lvlJc w:val="left"/>
      <w:pPr>
        <w:ind w:left="8038" w:hanging="360"/>
      </w:pPr>
      <w:rPr>
        <w:rFonts w:hint="default"/>
        <w:lang w:val="cs-CZ" w:eastAsia="en-US" w:bidi="ar-SA"/>
      </w:rPr>
    </w:lvl>
    <w:lvl w:ilvl="8" w:tplc="EA22CF1C">
      <w:numFmt w:val="bullet"/>
      <w:lvlText w:val="•"/>
      <w:lvlJc w:val="left"/>
      <w:pPr>
        <w:ind w:left="8821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B5"/>
    <w:rsid w:val="00CC5024"/>
    <w:rsid w:val="00DF798A"/>
    <w:rsid w:val="00E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1"/>
    <w:qFormat/>
    <w:pPr>
      <w:ind w:left="636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556"/>
    </w:pPr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255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uiPriority w:val="1"/>
    <w:qFormat/>
    <w:pPr>
      <w:ind w:left="636"/>
      <w:outlineLvl w:val="0"/>
    </w:pPr>
    <w:rPr>
      <w:b/>
      <w:bCs/>
      <w:sz w:val="17"/>
      <w:szCs w:val="1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556"/>
    </w:pPr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ind w:left="2556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Sprchové křeslo CARENDO :</vt:lpstr>
    </vt:vector>
  </TitlesOfParts>
  <Company>Arjo AB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Sprchové křeslo CARENDO :</dc:title>
  <dc:creator>Martin Takács</dc:creator>
  <cp:lastModifiedBy>Miroslava Zajíčková</cp:lastModifiedBy>
  <cp:revision>2</cp:revision>
  <cp:lastPrinted>2024-11-11T05:13:00Z</cp:lastPrinted>
  <dcterms:created xsi:type="dcterms:W3CDTF">2024-11-11T05:15:00Z</dcterms:created>
  <dcterms:modified xsi:type="dcterms:W3CDTF">2024-11-11T05:15:00Z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2021-03-22T00:00:00Z</vt:filetime>
  </property>
</Properties>
</file>