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8893129" w:rsidR="00EA483E"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422FFD56" w14:textId="77777777" w:rsidR="0055499C" w:rsidRPr="00AC24A3" w:rsidRDefault="0055499C" w:rsidP="00275E12">
      <w:pPr>
        <w:pStyle w:val="20Hlavikasted"/>
      </w:pP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24601311"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3D408511" w:rsidR="008E0BA1" w:rsidRDefault="008E0BA1">
      <w:pPr>
        <w:sectPr w:rsidR="008E0BA1" w:rsidSect="00C60E0C">
          <w:headerReference w:type="even" r:id="rId8"/>
          <w:headerReference w:type="default" r:id="rId9"/>
          <w:footerReference w:type="default" r:id="rId10"/>
          <w:pgSz w:w="11906" w:h="16838"/>
          <w:pgMar w:top="1417" w:right="1417" w:bottom="1417" w:left="1417" w:header="567" w:footer="567" w:gutter="0"/>
          <w:cols w:space="708"/>
          <w:docGrid w:linePitch="360"/>
        </w:sectPr>
      </w:pP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68B20107" w:rsidR="007B1683" w:rsidRDefault="006D6CE2" w:rsidP="00113496">
      <w:pPr>
        <w:pStyle w:val="07Psmeno"/>
      </w:pPr>
      <w:r>
        <w:t xml:space="preserve"> </w:t>
      </w:r>
      <w:r w:rsidR="007B1683">
        <w:t>„</w:t>
      </w:r>
      <w:r w:rsidR="007B1683">
        <w:rPr>
          <w:b/>
          <w:bCs/>
        </w:rPr>
        <w:t>DPH</w:t>
      </w:r>
      <w:r w:rsidR="007B1683">
        <w:t>“ znamená daň z přidané hodnoty;</w:t>
      </w:r>
    </w:p>
    <w:p w14:paraId="0FDE60FB" w14:textId="60972328" w:rsidR="006D6CE2" w:rsidRDefault="006D6CE2" w:rsidP="00113496">
      <w:pPr>
        <w:pStyle w:val="07Psmeno"/>
      </w:pPr>
      <w:r>
        <w:t>„</w:t>
      </w:r>
      <w:r w:rsidRPr="006D6CE2">
        <w:rPr>
          <w:b/>
        </w:rPr>
        <w:t>Cenová kalkulace</w:t>
      </w:r>
      <w:r>
        <w:t>“ je ocenění jednotlivých položek Technické specifikace, byla součástí Nabídky a je uvedena v příloze č. 2 této Smlouvy;</w:t>
      </w:r>
    </w:p>
    <w:p w14:paraId="7A5BF8C0" w14:textId="3778B1D4"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37901D90"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2B2806">
        <w:t>3</w:t>
      </w:r>
      <w:r w:rsidR="006D6CE2" w:rsidRPr="006D6CE2">
        <w:t xml:space="preserve"> ks </w:t>
      </w:r>
      <w:r w:rsidR="001E0094" w:rsidRPr="001E0094">
        <w:t>přístroj</w:t>
      </w:r>
      <w:r w:rsidR="001E0094">
        <w:t>ů</w:t>
      </w:r>
      <w:r w:rsidR="001E0094" w:rsidRPr="001E0094">
        <w:t xml:space="preserve"> pro monitoraci S</w:t>
      </w:r>
      <w:r w:rsidR="001E0094">
        <w:t>p</w:t>
      </w:r>
      <w:r w:rsidR="001E0094" w:rsidRPr="001E0094">
        <w:t xml:space="preserve">O2, </w:t>
      </w:r>
      <w:proofErr w:type="spellStart"/>
      <w:r w:rsidR="001E0094" w:rsidRPr="001E0094">
        <w:t>S</w:t>
      </w:r>
      <w:r w:rsidR="001E0094">
        <w:t>p</w:t>
      </w:r>
      <w:r w:rsidR="001E0094" w:rsidRPr="001E0094">
        <w:t>CO</w:t>
      </w:r>
      <w:proofErr w:type="spellEnd"/>
      <w:r w:rsidR="001E0094" w:rsidRPr="001E0094">
        <w:t xml:space="preserve">, </w:t>
      </w:r>
      <w:proofErr w:type="spellStart"/>
      <w:r w:rsidR="001E0094" w:rsidRPr="001E0094">
        <w:t>karboxyhemoglobinu</w:t>
      </w:r>
      <w:proofErr w:type="spellEnd"/>
      <w:r w:rsidR="001E0094" w:rsidRPr="001E0094">
        <w:t xml:space="preserve"> a </w:t>
      </w:r>
      <w:proofErr w:type="spellStart"/>
      <w:r w:rsidR="001E0094" w:rsidRPr="001E0094">
        <w:t>methemoglobinu</w:t>
      </w:r>
      <w:proofErr w:type="spellEnd"/>
      <w:r w:rsidR="00125447" w:rsidRPr="006D6CE2">
        <w:t>; Předmět koupě je blíže specifikovaný</w:t>
      </w:r>
      <w:r w:rsidR="00F350E0" w:rsidRPr="006D6CE2">
        <w:t xml:space="preserve"> Technickou specifikací</w:t>
      </w:r>
      <w:r w:rsidR="006D6CE2" w:rsidRPr="006D6CE2">
        <w:t>, Cenovou kalkulací</w:t>
      </w:r>
      <w:r w:rsidR="007A13C8" w:rsidRPr="006D6CE2">
        <w:t xml:space="preserve"> 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7AF2985E"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032C8E">
        <w:t>„</w:t>
      </w:r>
      <w:r w:rsidR="001E0094">
        <w:t>Přístroje</w:t>
      </w:r>
      <w:r w:rsidR="001E0094" w:rsidRPr="001E0094">
        <w:t xml:space="preserve"> pro monitoraci SpO2, </w:t>
      </w:r>
      <w:proofErr w:type="spellStart"/>
      <w:r w:rsidR="001E0094" w:rsidRPr="001E0094">
        <w:t>SpCO</w:t>
      </w:r>
      <w:proofErr w:type="spellEnd"/>
      <w:r w:rsidR="001E0094" w:rsidRPr="001E0094">
        <w:t xml:space="preserve">, </w:t>
      </w:r>
      <w:proofErr w:type="spellStart"/>
      <w:r w:rsidR="001E0094" w:rsidRPr="001E0094">
        <w:t>karboxyhemoglobinu</w:t>
      </w:r>
      <w:proofErr w:type="spellEnd"/>
      <w:r w:rsidR="001E0094" w:rsidRPr="001E0094">
        <w:t xml:space="preserve"> a </w:t>
      </w:r>
      <w:proofErr w:type="spellStart"/>
      <w:r w:rsidR="001E0094" w:rsidRPr="001E0094">
        <w:t>methemoglobinu</w:t>
      </w:r>
      <w:proofErr w:type="spellEnd"/>
      <w:r w:rsidR="00032C8E">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4616A76E" w:rsidR="00A6791C" w:rsidRDefault="00A6791C" w:rsidP="00113496">
      <w:pPr>
        <w:pStyle w:val="07Psmeno"/>
      </w:pPr>
      <w:r>
        <w:t>slova vyjadřující určitý rod zahrnují i ostatní rody.</w:t>
      </w:r>
    </w:p>
    <w:p w14:paraId="6E2202F8" w14:textId="77777777" w:rsidR="0055499C" w:rsidRDefault="0055499C" w:rsidP="0055499C">
      <w:pPr>
        <w:pStyle w:val="07Psmeno"/>
        <w:numPr>
          <w:ilvl w:val="0"/>
          <w:numId w:val="0"/>
        </w:numPr>
        <w:ind w:left="851"/>
      </w:pP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6E1EE578" w14:textId="29D8E665"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010B85BD" w14:textId="77777777" w:rsidR="0055499C" w:rsidRDefault="0055499C" w:rsidP="0055499C">
      <w:pPr>
        <w:pStyle w:val="05Odstavecslovan"/>
        <w:numPr>
          <w:ilvl w:val="0"/>
          <w:numId w:val="0"/>
        </w:numPr>
        <w:ind w:left="426"/>
      </w:pPr>
    </w:p>
    <w:p w14:paraId="6A0F7CD9" w14:textId="1F376673" w:rsidR="00525BC0" w:rsidRPr="006D6CE2" w:rsidRDefault="00525BC0" w:rsidP="001F0B31">
      <w:pPr>
        <w:pStyle w:val="02lnek"/>
      </w:pPr>
      <w:r>
        <w:t xml:space="preserve">Doba a </w:t>
      </w:r>
      <w:r w:rsidRPr="006D6CE2">
        <w:t>místo plnění</w:t>
      </w:r>
    </w:p>
    <w:p w14:paraId="7D2C4B4C" w14:textId="7671B34A"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29275E">
        <w:t>6</w:t>
      </w:r>
      <w:r w:rsidR="006D6CE2" w:rsidRPr="006D6CE2">
        <w:t>0 kalendářních dnů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32165D5B"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1F0840A8" w14:textId="77777777" w:rsidR="0055499C" w:rsidRDefault="0055499C" w:rsidP="0055499C">
      <w:pPr>
        <w:pStyle w:val="05Odstavecslovan"/>
        <w:numPr>
          <w:ilvl w:val="0"/>
          <w:numId w:val="0"/>
        </w:numPr>
        <w:ind w:left="426"/>
      </w:pP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0463C9C9" w:rsidR="00682D7E" w:rsidRDefault="00DF4450" w:rsidP="006D6CE2">
      <w:pPr>
        <w:pStyle w:val="07Psmeno"/>
      </w:pPr>
      <w:r>
        <w:t>rozpis jednotlivých položek Předmětu koupě</w:t>
      </w:r>
      <w:r w:rsidR="006D6CE2">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lastRenderedPageBreak/>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1AA52EC9" w:rsidR="00C050B4" w:rsidRDefault="00C050B4" w:rsidP="00D95318">
      <w:pPr>
        <w:pStyle w:val="05Odstavecslovan"/>
      </w:pPr>
      <w:r>
        <w:t>Kupující neposkytuje Prodávajícímu zálohu.</w:t>
      </w:r>
    </w:p>
    <w:p w14:paraId="4E008443" w14:textId="77777777" w:rsidR="0055499C" w:rsidRDefault="0055499C" w:rsidP="0055499C">
      <w:pPr>
        <w:pStyle w:val="05Odstavecslovan"/>
        <w:numPr>
          <w:ilvl w:val="0"/>
          <w:numId w:val="0"/>
        </w:numPr>
        <w:ind w:left="426"/>
      </w:pP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lastRenderedPageBreak/>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4126FAB0"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0F6C1A2B" w14:textId="77777777" w:rsidR="0055499C" w:rsidRDefault="0055499C" w:rsidP="0055499C">
      <w:pPr>
        <w:pStyle w:val="05Odstavecslovan"/>
        <w:numPr>
          <w:ilvl w:val="0"/>
          <w:numId w:val="0"/>
        </w:numPr>
        <w:ind w:left="426"/>
      </w:pP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 xml:space="preserve">nezaniká jeho odpovědnost za vady, </w:t>
      </w:r>
      <w:r w:rsidR="00137E61">
        <w:lastRenderedPageBreak/>
        <w:t>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41348A22"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7A42221" w14:textId="77777777" w:rsidR="0055499C" w:rsidRDefault="0055499C" w:rsidP="0055499C">
      <w:pPr>
        <w:pStyle w:val="05Odstavecslovan"/>
        <w:numPr>
          <w:ilvl w:val="0"/>
          <w:numId w:val="0"/>
        </w:numPr>
        <w:ind w:left="426"/>
      </w:pP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 Formuláře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lastRenderedPageBreak/>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51FD2E45"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78E4FC55" w14:textId="77777777" w:rsidR="0055499C" w:rsidRDefault="0055499C" w:rsidP="0055499C">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lastRenderedPageBreak/>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6784981F"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64CCC5A3" w14:textId="77777777" w:rsidR="0055499C" w:rsidRDefault="0055499C" w:rsidP="0055499C">
      <w:pPr>
        <w:pStyle w:val="05Odstavecslovan"/>
        <w:numPr>
          <w:ilvl w:val="0"/>
          <w:numId w:val="0"/>
        </w:numPr>
        <w:ind w:left="426"/>
      </w:pP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4FCC0463" w:rsidR="004B0B16" w:rsidRDefault="00B522A3" w:rsidP="002B3A55">
      <w:pPr>
        <w:pStyle w:val="10Textpododr"/>
      </w:pPr>
      <w:r>
        <w:t>Mgr. Vít Dvořák, DiS.</w:t>
      </w:r>
      <w:r w:rsidR="006D6CE2" w:rsidRPr="006D6CE2">
        <w:t xml:space="preserve">, e-mail: </w:t>
      </w:r>
      <w:r>
        <w:t>vit.dvorak</w:t>
      </w:r>
      <w:r w:rsidR="006D6CE2" w:rsidRPr="006D6CE2">
        <w:t xml:space="preserve">@zachranka.cz,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030CA696" w:rsidR="004B0B16" w:rsidRDefault="006D6CE2" w:rsidP="002B3A55">
      <w:pPr>
        <w:pStyle w:val="10Textpododr"/>
      </w:pPr>
      <w:r w:rsidRPr="006D6CE2">
        <w:lastRenderedPageBreak/>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1EC6D908"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4D80C113" w14:textId="77777777" w:rsidR="0055499C" w:rsidRDefault="0055499C" w:rsidP="0055499C">
      <w:pPr>
        <w:pStyle w:val="05Odstavecslovan"/>
        <w:numPr>
          <w:ilvl w:val="0"/>
          <w:numId w:val="0"/>
        </w:numPr>
        <w:ind w:left="426"/>
      </w:pP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F3DA15C"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2A642B80" w14:textId="5FE5A8B0" w:rsidR="00380619" w:rsidRDefault="00380619" w:rsidP="00380619">
      <w:pPr>
        <w:pStyle w:val="05Odstavecslovan"/>
        <w:numPr>
          <w:ilvl w:val="0"/>
          <w:numId w:val="0"/>
        </w:numPr>
        <w:ind w:left="426"/>
      </w:pPr>
    </w:p>
    <w:p w14:paraId="5DE6DCA8" w14:textId="3A877A20" w:rsidR="001F0B31" w:rsidRDefault="001F0B31" w:rsidP="001F0B31">
      <w:pPr>
        <w:pStyle w:val="05Odstavecslovan"/>
      </w:pPr>
      <w:bookmarkStart w:id="14" w:name="_GoBack"/>
      <w:bookmarkEnd w:id="14"/>
      <w:r>
        <w:lastRenderedPageBreak/>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612BA632" w14:textId="5637839E" w:rsidR="00283365" w:rsidRDefault="00283365" w:rsidP="00113496">
      <w:pPr>
        <w:pStyle w:val="06Odstavecneslovan"/>
      </w:pPr>
      <w:r>
        <w:rPr>
          <w:b/>
          <w:bCs/>
        </w:rPr>
        <w:t>Příloha č.</w:t>
      </w:r>
      <w:r>
        <w:t xml:space="preserve"> </w:t>
      </w:r>
      <w:r w:rsidRPr="00283365">
        <w:rPr>
          <w:b/>
        </w:rPr>
        <w:t>2:</w:t>
      </w:r>
      <w:r>
        <w:t xml:space="preserve"> Cenová kalkulace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4C62" w14:textId="6C29E29C" w:rsidR="00C60E0C" w:rsidRDefault="00C60E0C">
    <w:r w:rsidRPr="003953CF">
      <w:rPr>
        <w:noProof/>
      </w:rPr>
      <w:drawing>
        <wp:anchor distT="0" distB="0" distL="114300" distR="114300" simplePos="0" relativeHeight="251660288" behindDoc="0" locked="0" layoutInCell="1" allowOverlap="1" wp14:anchorId="07DB7637" wp14:editId="1DE7679F">
          <wp:simplePos x="0" y="0"/>
          <wp:positionH relativeFrom="margin">
            <wp:align>center</wp:align>
          </wp:positionH>
          <wp:positionV relativeFrom="paragraph">
            <wp:posOffset>4071</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CCB0915" w14:textId="05E0115E" w:rsidR="00C60E0C" w:rsidRDefault="00C60E0C" w:rsidP="008E0BA1">
          <w:pPr>
            <w:pStyle w:val="17Hlavika-zhlav"/>
            <w:tabs>
              <w:tab w:val="clear" w:pos="8846"/>
              <w:tab w:val="clear" w:pos="9072"/>
              <w:tab w:val="left" w:pos="7155"/>
              <w:tab w:val="left" w:pos="8430"/>
            </w:tabs>
          </w:pPr>
          <w:bookmarkStart w:id="0" w:name="_Hlk182391884"/>
          <w:r w:rsidRPr="00C60E0C">
            <w:t xml:space="preserve">Přístroje pro monitoraci SpO2, </w:t>
          </w:r>
          <w:proofErr w:type="spellStart"/>
          <w:r w:rsidRPr="00C60E0C">
            <w:t>SpCO</w:t>
          </w:r>
          <w:proofErr w:type="spellEnd"/>
          <w:r w:rsidRPr="00C60E0C">
            <w:t xml:space="preserve">, </w:t>
          </w:r>
        </w:p>
        <w:p w14:paraId="7B62EFAF" w14:textId="45230955" w:rsidR="008E0BA1" w:rsidRPr="00925433" w:rsidRDefault="00C60E0C" w:rsidP="008E0BA1">
          <w:pPr>
            <w:pStyle w:val="17Hlavika-zhlav"/>
            <w:tabs>
              <w:tab w:val="clear" w:pos="8846"/>
              <w:tab w:val="clear" w:pos="9072"/>
              <w:tab w:val="left" w:pos="7155"/>
              <w:tab w:val="left" w:pos="8430"/>
            </w:tabs>
          </w:pPr>
          <w:proofErr w:type="spellStart"/>
          <w:r w:rsidRPr="00C60E0C">
            <w:t>karboxyhemoglobinu</w:t>
          </w:r>
          <w:proofErr w:type="spellEnd"/>
          <w:r w:rsidRPr="00C60E0C">
            <w:t xml:space="preserve"> a </w:t>
          </w:r>
          <w:proofErr w:type="spellStart"/>
          <w:r w:rsidRPr="00C60E0C">
            <w:t>methemoglobinu</w:t>
          </w:r>
          <w:proofErr w:type="spellEnd"/>
          <w:r w:rsidR="008E0BA1" w:rsidRPr="00925433">
            <w:tab/>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2C8E"/>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0094"/>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2806"/>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0619"/>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99C"/>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0E0C"/>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DD3F-5BC9-4FD5-847A-0FBA854F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3867</Words>
  <Characters>22820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403</cp:revision>
  <dcterms:created xsi:type="dcterms:W3CDTF">2024-01-29T17:45:00Z</dcterms:created>
  <dcterms:modified xsi:type="dcterms:W3CDTF">2025-09-03T19:33:00Z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