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D50372C" w:rsidR="00F237E9" w:rsidRPr="00F237E9" w:rsidRDefault="00E80291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09617B4A" wp14:editId="008B8D5A">
                  <wp:extent cx="3153600" cy="867657"/>
                  <wp:effectExtent l="0" t="0" r="0" b="8890"/>
                  <wp:docPr id="494233738" name="Obrázek 2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33738" name="Obrázek 2" descr="Obsah obrázku text, Písmo, logo, symbol&#10;&#10;Popis byl vytvořen automaticky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600" cy="867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3F74B9CB" w:rsidR="00F237E9" w:rsidRPr="00902E9F" w:rsidRDefault="00193E9F" w:rsidP="00902E9F">
            <w:pPr>
              <w:pStyle w:val="14Hlavika-nabdka"/>
            </w:pPr>
            <w:r>
              <w:t>Technická specifikace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31A7FD66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9075B1">
              <w:t xml:space="preserve">větší nákup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27CB4A97" w14:textId="09B488D4" w:rsidR="00B85E19" w:rsidRDefault="00B85E19" w:rsidP="00902E9F">
            <w:pPr>
              <w:pStyle w:val="16NzevVZ"/>
            </w:pPr>
          </w:p>
          <w:p w14:paraId="1BC03EEC" w14:textId="1340446A" w:rsidR="00B85E19" w:rsidRDefault="00B85E19" w:rsidP="00B85E19">
            <w:pPr>
              <w:pStyle w:val="16NzevVZ"/>
              <w:spacing w:after="160" w:line="259" w:lineRule="auto"/>
            </w:pPr>
            <w:r>
              <w:t>„</w:t>
            </w:r>
            <w:r w:rsidR="003D28A1">
              <w:t>STUDIE REKONSTRUKCE VÝJEZDOVÉ ZÁKLADNY MĚLNÍK ZZS SK</w:t>
            </w:r>
            <w:r>
              <w:t>“</w:t>
            </w:r>
          </w:p>
          <w:p w14:paraId="1D0389E7" w14:textId="1DFCE39C" w:rsidR="00A26949" w:rsidRDefault="00A26949" w:rsidP="00902E9F">
            <w:pPr>
              <w:pStyle w:val="16NzevVZ"/>
            </w:pP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77AFA78D" w:rsidR="00D744C8" w:rsidRDefault="00193E9F" w:rsidP="00D744C8">
      <w:pPr>
        <w:pStyle w:val="16NzevVZ"/>
      </w:pPr>
      <w:r>
        <w:lastRenderedPageBreak/>
        <w:t>Technická specifikace</w:t>
      </w:r>
    </w:p>
    <w:p w14:paraId="7395151C" w14:textId="4013572F" w:rsidR="00C73257" w:rsidRDefault="00193E9F" w:rsidP="00193E9F">
      <w:pPr>
        <w:pStyle w:val="02lnek"/>
      </w:pPr>
      <w:r>
        <w:t>Účel Technické specifikace a její vyplnění</w:t>
      </w:r>
      <w:r w:rsidR="009A7F96">
        <w:t xml:space="preserve"> ve výběrovém řízení</w:t>
      </w:r>
    </w:p>
    <w:p w14:paraId="231601BE" w14:textId="5511B521" w:rsidR="00193E9F" w:rsidRDefault="00193E9F" w:rsidP="00193E9F">
      <w:pPr>
        <w:pStyle w:val="06Odstavecneslovan"/>
      </w:pPr>
      <w:r>
        <w:t>Tato technická specifikace stanoví závazné požadavky na dodávaný předmět plnění. Následky jejich nedodržení stanoví smlouva, jíž je tato technická specifikace součástí.</w:t>
      </w:r>
    </w:p>
    <w:p w14:paraId="0177E2B6" w14:textId="77777777" w:rsidR="007978D5" w:rsidRDefault="007978D5" w:rsidP="007978D5">
      <w:pPr>
        <w:pStyle w:val="06Odstavecneslovan"/>
      </w:pPr>
      <w:r>
        <w:t>Dodavatel ve výběrovém řízení vyplní technickou specifikaci pouze v barevně označených částech (typicky v částech vymezujících naplnění závazných požadavků nabízeného plnění). Dodavatel není oprávněn upravovat jiné než barevně označené části technické specifikace, zejména pak není oprávněn upravovat konkrétní závazné požadavky.</w:t>
      </w:r>
    </w:p>
    <w:p w14:paraId="51266391" w14:textId="77777777" w:rsidR="002731BA" w:rsidRPr="008B2D02" w:rsidRDefault="002731BA" w:rsidP="002731BA">
      <w:pPr>
        <w:pStyle w:val="06Odstavecneslovan"/>
      </w:pPr>
      <w:r>
        <w:t>U</w:t>
      </w:r>
      <w:r w:rsidRPr="008B2D02">
        <w:t xml:space="preserve"> číselně vyjádřených technických parametrů </w:t>
      </w:r>
      <w:r>
        <w:t xml:space="preserve">je při vyplnění dodavatelem připuštěn </w:t>
      </w:r>
      <w:r w:rsidRPr="008B2D02">
        <w:t xml:space="preserve">toleranční rozsah +/- 10 % od </w:t>
      </w:r>
      <w:r>
        <w:t>hodnot požadovaných</w:t>
      </w:r>
      <w:r w:rsidRPr="008B2D02">
        <w:t xml:space="preserve">, pokud touto změnou nebude narušena požadovaná kvalita a funkce </w:t>
      </w:r>
      <w:r>
        <w:t xml:space="preserve">dodávaného plnění </w:t>
      </w:r>
      <w:r w:rsidRPr="008B2D02">
        <w:t>a pokud v</w:t>
      </w:r>
      <w:r>
        <w:t> této technické</w:t>
      </w:r>
      <w:r w:rsidRPr="008B2D02">
        <w:t xml:space="preserve"> specifikaci nejsou uvedeny žádné zvláštní toleranční rozsahy. Technické parametry, označené jako minimální (resp. maximální) musí být dodrženy bez možnosti uplatnit toleranci. Ostatní odchylky a požadavky na přesnost musí splňovat platné právní předpisy, technické normy apod. Pokud </w:t>
      </w:r>
      <w:r>
        <w:t xml:space="preserve">dodavatel </w:t>
      </w:r>
      <w:r w:rsidRPr="008B2D02">
        <w:t>nabídne parametr, který nedosahuje (u min. hodnoty), resp. překračuje (u max. hodnoty) hodnoty, bude tato skutečnost považována za nesplnění zadávacích podmínek</w:t>
      </w:r>
      <w:r>
        <w:t xml:space="preserve"> se všemi z toho vyplývajícími dopady</w:t>
      </w:r>
      <w:r w:rsidRPr="008B2D02">
        <w:t>.</w:t>
      </w:r>
    </w:p>
    <w:p w14:paraId="069304A8" w14:textId="48C696E7" w:rsidR="002731BA" w:rsidRDefault="002731BA" w:rsidP="002731BA">
      <w:pPr>
        <w:pStyle w:val="06Odstavecneslovan"/>
      </w:pPr>
      <w:r w:rsidRPr="008B2D02">
        <w:t xml:space="preserve">Pokud tato </w:t>
      </w:r>
      <w:r>
        <w:t>technická s</w:t>
      </w:r>
      <w:r w:rsidRPr="008B2D02">
        <w:t xml:space="preserve">pecifikace nebo jiná část </w:t>
      </w:r>
      <w:r>
        <w:t>zadávacích podmínek</w:t>
      </w:r>
      <w:r w:rsidRPr="008B2D02">
        <w:t xml:space="preserve"> obsahuje názvy určitých dodavatelů nebo výrobků, nebo patentů na vynálezy, užitné vzory, průmyslové vzory, ochranné známky nebo označení původu, </w:t>
      </w:r>
      <w:r>
        <w:t xml:space="preserve">je </w:t>
      </w:r>
      <w:r w:rsidRPr="008B2D02">
        <w:t>umož</w:t>
      </w:r>
      <w:r>
        <w:t>něno</w:t>
      </w:r>
      <w:r w:rsidRPr="008B2D02">
        <w:t xml:space="preserve"> použití i jiných, kvalitativně a technicky rovnocenných řešení, které budou splňovat požadavky na </w:t>
      </w:r>
      <w:r>
        <w:t>předmět plnění.</w:t>
      </w:r>
    </w:p>
    <w:p w14:paraId="5BC9465E" w14:textId="22395E7E" w:rsidR="00193E9F" w:rsidRDefault="00193E9F" w:rsidP="00193E9F">
      <w:pPr>
        <w:pStyle w:val="02lnek"/>
      </w:pPr>
      <w:r>
        <w:t>Závazné požadavky</w:t>
      </w:r>
    </w:p>
    <w:p w14:paraId="27444652" w14:textId="645807E2" w:rsidR="00193E9F" w:rsidRDefault="003D28A1" w:rsidP="00193E9F">
      <w:pPr>
        <w:pStyle w:val="06Odstavecneslovan"/>
      </w:pPr>
      <w:r w:rsidRPr="003D28A1">
        <w:t xml:space="preserve">Předmětem plnění je zpracování následujících </w:t>
      </w:r>
      <w:bookmarkStart w:id="0" w:name="_GoBack"/>
      <w:r w:rsidRPr="003D28A1">
        <w:t>stupňů projektové dokumentace a odborných posudků pro přípravu rekonstrukce stávající stavby</w:t>
      </w:r>
      <w:r>
        <w:t xml:space="preserve"> výjezdové základny ZZS SK Mělník</w:t>
      </w:r>
      <w:r w:rsidR="007978D5">
        <w:t xml:space="preserve"> </w:t>
      </w:r>
      <w:bookmarkEnd w:id="0"/>
      <w:r w:rsidR="007978D5">
        <w:t>(dále jen „Stavba“ nebo „Výjezdová základna“)</w:t>
      </w:r>
      <w:r w:rsidR="00193E9F">
        <w:t>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9A7F96" w14:paraId="22E4F646" w14:textId="77777777" w:rsidTr="009A7F96">
        <w:tc>
          <w:tcPr>
            <w:tcW w:w="8462" w:type="dxa"/>
            <w:gridSpan w:val="2"/>
          </w:tcPr>
          <w:p w14:paraId="049D557B" w14:textId="7FDF1AE9" w:rsidR="009A7F96" w:rsidRPr="00317A83" w:rsidRDefault="003D28A1" w:rsidP="009A7F96">
            <w:pPr>
              <w:pStyle w:val="19Tabulkastedtun"/>
            </w:pPr>
            <w:r>
              <w:t>Příprava prací – pasport</w:t>
            </w:r>
            <w:r w:rsidR="00764C34">
              <w:t>izace</w:t>
            </w:r>
            <w:r>
              <w:t xml:space="preserve"> objektu</w:t>
            </w:r>
          </w:p>
        </w:tc>
      </w:tr>
      <w:tr w:rsidR="00193E9F" w:rsidRPr="004D2972" w14:paraId="3EA37087" w14:textId="77777777" w:rsidTr="004D2972">
        <w:tc>
          <w:tcPr>
            <w:tcW w:w="6922" w:type="dxa"/>
            <w:vAlign w:val="center"/>
          </w:tcPr>
          <w:p w14:paraId="44C8A3CF" w14:textId="2D330AB7" w:rsidR="00193E9F" w:rsidRPr="004D2972" w:rsidRDefault="003D28A1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>kompletní pasportizace stávajících objektů</w:t>
            </w:r>
            <w:r w:rsid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Stavby</w:t>
            </w:r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–</w:t>
            </w:r>
            <w:r w:rsid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>parc</w:t>
            </w:r>
            <w:proofErr w:type="spellEnd"/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. č. 4180/22 a objekt dílny na pozemku </w:t>
            </w:r>
            <w:proofErr w:type="spellStart"/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>parc</w:t>
            </w:r>
            <w:proofErr w:type="spellEnd"/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>. č. 4180/21,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v</w:t>
            </w:r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>k.ú</w:t>
            </w:r>
            <w:proofErr w:type="spellEnd"/>
            <w:r w:rsidRPr="003D28A1">
              <w:rPr>
                <w:rFonts w:ascii="Arial" w:eastAsia="SimSun" w:hAnsi="Arial" w:cs="Arial"/>
                <w:color w:val="00000A"/>
                <w:sz w:val="20"/>
                <w:szCs w:val="20"/>
              </w:rPr>
              <w:t>. Mělník</w:t>
            </w:r>
          </w:p>
        </w:tc>
        <w:tc>
          <w:tcPr>
            <w:tcW w:w="1540" w:type="dxa"/>
            <w:vAlign w:val="center"/>
          </w:tcPr>
          <w:p w14:paraId="604127DF" w14:textId="177F3182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193E9F" w:rsidRPr="004D2972" w14:paraId="451D8CAF" w14:textId="77777777" w:rsidTr="004D2972">
        <w:tc>
          <w:tcPr>
            <w:tcW w:w="6922" w:type="dxa"/>
            <w:vAlign w:val="center"/>
          </w:tcPr>
          <w:p w14:paraId="1F20AEB5" w14:textId="228F5A03" w:rsidR="00193E9F" w:rsidRPr="004D2972" w:rsidRDefault="007978D5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zaměření plochy vjezdu a parkovací plochy před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V</w:t>
            </w: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ýjezdovou základnou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na pozemku </w:t>
            </w:r>
            <w:proofErr w:type="spellStart"/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parc</w:t>
            </w:r>
            <w:proofErr w:type="spellEnd"/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. č. 4180/23, k.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  <w:proofErr w:type="spellStart"/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ú.</w:t>
            </w:r>
            <w:proofErr w:type="spellEnd"/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Mělník</w:t>
            </w:r>
          </w:p>
        </w:tc>
        <w:tc>
          <w:tcPr>
            <w:tcW w:w="1540" w:type="dxa"/>
            <w:vAlign w:val="center"/>
          </w:tcPr>
          <w:p w14:paraId="43DB0A0E" w14:textId="6A55C504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193E9F" w:rsidRPr="004D2972" w14:paraId="3CA6D5ED" w14:textId="77777777" w:rsidTr="004D2972">
        <w:tc>
          <w:tcPr>
            <w:tcW w:w="6922" w:type="dxa"/>
            <w:vAlign w:val="center"/>
          </w:tcPr>
          <w:p w14:paraId="19AAE7FF" w14:textId="63949244" w:rsidR="00193E9F" w:rsidRPr="004D2972" w:rsidRDefault="007978D5" w:rsidP="004D2972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978D5">
              <w:rPr>
                <w:rFonts w:ascii="Arial" w:eastAsia="Calibri" w:hAnsi="Arial" w:cs="Arial"/>
                <w:sz w:val="20"/>
                <w:szCs w:val="20"/>
              </w:rPr>
              <w:t xml:space="preserve">výstupy – situace, půdorysy všech podlaží, řezy, pohledy vše ve formátu </w:t>
            </w:r>
            <w:proofErr w:type="spellStart"/>
            <w:r w:rsidRPr="007978D5">
              <w:rPr>
                <w:rFonts w:ascii="Arial" w:eastAsia="Calibri" w:hAnsi="Arial" w:cs="Arial"/>
                <w:sz w:val="20"/>
                <w:szCs w:val="20"/>
              </w:rPr>
              <w:t>pdf</w:t>
            </w:r>
            <w:proofErr w:type="spellEnd"/>
            <w:r w:rsidRPr="007978D5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7978D5">
              <w:rPr>
                <w:rFonts w:ascii="Arial" w:eastAsia="Calibri" w:hAnsi="Arial" w:cs="Arial"/>
                <w:sz w:val="20"/>
                <w:szCs w:val="20"/>
              </w:rPr>
              <w:t>dwg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7978D5">
              <w:rPr>
                <w:rFonts w:ascii="Arial" w:eastAsia="Calibri" w:hAnsi="Arial" w:cs="Arial"/>
                <w:sz w:val="20"/>
                <w:szCs w:val="20"/>
              </w:rPr>
              <w:t xml:space="preserve"> vč</w:t>
            </w:r>
            <w:r>
              <w:rPr>
                <w:rFonts w:ascii="Arial" w:eastAsia="Calibri" w:hAnsi="Arial" w:cs="Arial"/>
                <w:sz w:val="20"/>
                <w:szCs w:val="20"/>
              </w:rPr>
              <w:t>etně</w:t>
            </w:r>
            <w:r w:rsidRPr="007978D5">
              <w:rPr>
                <w:rFonts w:ascii="Arial" w:eastAsia="Calibri" w:hAnsi="Arial" w:cs="Arial"/>
                <w:sz w:val="20"/>
                <w:szCs w:val="20"/>
              </w:rPr>
              <w:t xml:space="preserve"> seznamu souřadnic</w:t>
            </w:r>
          </w:p>
        </w:tc>
        <w:tc>
          <w:tcPr>
            <w:tcW w:w="1540" w:type="dxa"/>
            <w:vAlign w:val="center"/>
          </w:tcPr>
          <w:p w14:paraId="4C92F3FC" w14:textId="7774093C" w:rsidR="00193E9F" w:rsidRPr="004D2972" w:rsidRDefault="009A7F96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097C4CBC" w14:textId="77777777" w:rsidTr="004D2972">
        <w:tc>
          <w:tcPr>
            <w:tcW w:w="6922" w:type="dxa"/>
            <w:vAlign w:val="center"/>
          </w:tcPr>
          <w:p w14:paraId="47E5C26A" w14:textId="02FF5A81" w:rsidR="00E5287E" w:rsidRPr="004D2972" w:rsidRDefault="007978D5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978D5">
              <w:rPr>
                <w:rFonts w:ascii="Arial" w:eastAsia="Calibri" w:hAnsi="Arial" w:cs="Arial"/>
                <w:sz w:val="20"/>
                <w:szCs w:val="20"/>
              </w:rPr>
              <w:t xml:space="preserve">za pasportizaci </w:t>
            </w: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7978D5">
              <w:rPr>
                <w:rFonts w:ascii="Arial" w:eastAsia="Calibri" w:hAnsi="Arial" w:cs="Arial"/>
                <w:sz w:val="20"/>
                <w:szCs w:val="20"/>
              </w:rPr>
              <w:t>adavatel považuje činnost definovanou ustanovením § 9, Přílohy č. 11, Vyhlášky č. 131/2024 Sb., o dokumentaci staveb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7978D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ve znění pozdějších předpisů</w:t>
            </w:r>
          </w:p>
        </w:tc>
        <w:tc>
          <w:tcPr>
            <w:tcW w:w="1540" w:type="dxa"/>
            <w:vAlign w:val="center"/>
          </w:tcPr>
          <w:p w14:paraId="54603273" w14:textId="532D3B61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E5287E" w:rsidRPr="004D2972" w14:paraId="394CACD6" w14:textId="77777777" w:rsidTr="004D2972">
        <w:tc>
          <w:tcPr>
            <w:tcW w:w="6922" w:type="dxa"/>
            <w:vAlign w:val="center"/>
          </w:tcPr>
          <w:p w14:paraId="70019FCD" w14:textId="453A0171" w:rsidR="00E5287E" w:rsidRPr="004D2972" w:rsidRDefault="007978D5" w:rsidP="004D297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termín </w:t>
            </w: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dodání do 3 týdnů od účinnosti smlouvy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o dílo</w:t>
            </w:r>
          </w:p>
        </w:tc>
        <w:tc>
          <w:tcPr>
            <w:tcW w:w="1540" w:type="dxa"/>
            <w:vAlign w:val="center"/>
          </w:tcPr>
          <w:p w14:paraId="095C699F" w14:textId="094BEBB5" w:rsidR="00E5287E" w:rsidRPr="004D2972" w:rsidRDefault="00E5287E" w:rsidP="00711766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</w:tbl>
    <w:p w14:paraId="0A907FB3" w14:textId="6FA828C5" w:rsidR="00431B26" w:rsidRDefault="00431B26" w:rsidP="00431B26">
      <w:pPr>
        <w:pStyle w:val="06Odstavecneslovan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7978D5" w14:paraId="5F5410D4" w14:textId="77777777" w:rsidTr="00C4182C">
        <w:tc>
          <w:tcPr>
            <w:tcW w:w="8462" w:type="dxa"/>
            <w:gridSpan w:val="2"/>
          </w:tcPr>
          <w:p w14:paraId="6FB3C9DD" w14:textId="7B90323F" w:rsidR="007978D5" w:rsidRPr="00317A83" w:rsidRDefault="007978D5" w:rsidP="00C4182C">
            <w:pPr>
              <w:pStyle w:val="19Tabulkastedtun"/>
            </w:pPr>
            <w:r>
              <w:t>Architektonická studie - návrh</w:t>
            </w:r>
          </w:p>
        </w:tc>
      </w:tr>
      <w:tr w:rsidR="007978D5" w:rsidRPr="004D2972" w14:paraId="31E56656" w14:textId="77777777" w:rsidTr="00C4182C">
        <w:tc>
          <w:tcPr>
            <w:tcW w:w="6922" w:type="dxa"/>
            <w:vAlign w:val="center"/>
          </w:tcPr>
          <w:p w14:paraId="3716846F" w14:textId="26B74ECF" w:rsidR="007978D5" w:rsidRPr="004D2972" w:rsidRDefault="007978D5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architektonický návrh rekonstrukce stavby v souladu s požadavky zadavatele a specifiky dotačního titulu IROP, Výzva 13 - </w:t>
            </w:r>
            <w:hyperlink r:id="rId9" w:history="1">
              <w:r w:rsidRPr="009F7EE2">
                <w:rPr>
                  <w:rStyle w:val="Hypertextovodkaz"/>
                  <w:rFonts w:ascii="Arial" w:eastAsia="SimSun" w:hAnsi="Arial" w:cs="Arial"/>
                  <w:sz w:val="20"/>
                  <w:szCs w:val="20"/>
                </w:rPr>
                <w:t>https://irop.gov.cz/cs/vyzvy-2021-2027/vyzvy/13vyzvairop</w:t>
              </w:r>
            </w:hyperlink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75E373FB" w14:textId="77777777" w:rsidR="007978D5" w:rsidRPr="004D2972" w:rsidRDefault="007978D5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2BB518B3" w14:textId="77777777" w:rsidTr="00C4182C">
        <w:tc>
          <w:tcPr>
            <w:tcW w:w="6922" w:type="dxa"/>
            <w:vAlign w:val="center"/>
          </w:tcPr>
          <w:p w14:paraId="4893B859" w14:textId="750A60B7" w:rsidR="007978D5" w:rsidRPr="004D2972" w:rsidRDefault="007978D5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průběžné konzultace se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z</w:t>
            </w: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adavatelem</w:t>
            </w:r>
          </w:p>
        </w:tc>
        <w:tc>
          <w:tcPr>
            <w:tcW w:w="1540" w:type="dxa"/>
            <w:vAlign w:val="center"/>
          </w:tcPr>
          <w:p w14:paraId="661416A1" w14:textId="77777777" w:rsidR="007978D5" w:rsidRPr="004D2972" w:rsidRDefault="007978D5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40BB0CD6" w14:textId="77777777" w:rsidTr="00C4182C">
        <w:tc>
          <w:tcPr>
            <w:tcW w:w="6922" w:type="dxa"/>
            <w:vAlign w:val="center"/>
          </w:tcPr>
          <w:p w14:paraId="5D814851" w14:textId="4A6619C9" w:rsidR="007978D5" w:rsidRPr="004D2972" w:rsidRDefault="007978D5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7978D5">
              <w:rPr>
                <w:rFonts w:ascii="Arial" w:eastAsia="Calibri" w:hAnsi="Arial" w:cs="Arial"/>
                <w:sz w:val="20"/>
                <w:szCs w:val="20"/>
              </w:rPr>
              <w:t>dispoziční, konstrukční a technické řešení (2D výkresy všech podlaží, řez, pohledy, výkres střechy)</w:t>
            </w:r>
          </w:p>
        </w:tc>
        <w:tc>
          <w:tcPr>
            <w:tcW w:w="1540" w:type="dxa"/>
            <w:vAlign w:val="center"/>
          </w:tcPr>
          <w:p w14:paraId="43C03B98" w14:textId="77777777" w:rsidR="007978D5" w:rsidRPr="004D2972" w:rsidRDefault="007978D5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20EBCB2D" w14:textId="77777777" w:rsidTr="00C4182C">
        <w:tc>
          <w:tcPr>
            <w:tcW w:w="6922" w:type="dxa"/>
            <w:vAlign w:val="center"/>
          </w:tcPr>
          <w:p w14:paraId="62E846AE" w14:textId="72018A48" w:rsidR="007978D5" w:rsidRPr="004D2972" w:rsidRDefault="007978D5" w:rsidP="00C4182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978D5">
              <w:rPr>
                <w:rFonts w:ascii="Arial" w:eastAsia="Calibri" w:hAnsi="Arial" w:cs="Arial"/>
                <w:sz w:val="20"/>
                <w:szCs w:val="20"/>
              </w:rPr>
              <w:t>vizualizace vnější (zákresy do stávajících fotografií)</w:t>
            </w:r>
          </w:p>
        </w:tc>
        <w:tc>
          <w:tcPr>
            <w:tcW w:w="1540" w:type="dxa"/>
            <w:vAlign w:val="center"/>
          </w:tcPr>
          <w:p w14:paraId="03EC725B" w14:textId="77777777" w:rsidR="007978D5" w:rsidRPr="004D2972" w:rsidRDefault="007978D5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209533E4" w14:textId="77777777" w:rsidTr="00C4182C">
        <w:tc>
          <w:tcPr>
            <w:tcW w:w="6922" w:type="dxa"/>
            <w:vAlign w:val="center"/>
          </w:tcPr>
          <w:p w14:paraId="4919D8FC" w14:textId="4D9AD6B8" w:rsidR="007978D5" w:rsidRPr="007978D5" w:rsidRDefault="007978D5" w:rsidP="007978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78D5">
              <w:rPr>
                <w:rFonts w:ascii="Arial" w:eastAsia="SimSun" w:hAnsi="Arial" w:cs="Arial"/>
                <w:color w:val="00000A"/>
                <w:sz w:val="20"/>
                <w:szCs w:val="20"/>
              </w:rPr>
              <w:t>interiérová vizualizace</w:t>
            </w:r>
          </w:p>
        </w:tc>
        <w:tc>
          <w:tcPr>
            <w:tcW w:w="1540" w:type="dxa"/>
            <w:vAlign w:val="center"/>
          </w:tcPr>
          <w:p w14:paraId="7FA60EDD" w14:textId="482C242A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476E18D8" w14:textId="77777777" w:rsidTr="00C4182C">
        <w:tc>
          <w:tcPr>
            <w:tcW w:w="6922" w:type="dxa"/>
            <w:vAlign w:val="center"/>
          </w:tcPr>
          <w:p w14:paraId="7D03D24F" w14:textId="6FD1C9D7" w:rsidR="007978D5" w:rsidRPr="007978D5" w:rsidRDefault="007978D5" w:rsidP="007978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4 x axonometrie</w:t>
            </w:r>
          </w:p>
        </w:tc>
        <w:tc>
          <w:tcPr>
            <w:tcW w:w="1540" w:type="dxa"/>
            <w:vAlign w:val="center"/>
          </w:tcPr>
          <w:p w14:paraId="16A80901" w14:textId="0573864F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4A217D88" w14:textId="77777777" w:rsidTr="00C4182C">
        <w:tc>
          <w:tcPr>
            <w:tcW w:w="6922" w:type="dxa"/>
            <w:vAlign w:val="center"/>
          </w:tcPr>
          <w:p w14:paraId="3AC7BD94" w14:textId="5801DAB4" w:rsidR="007978D5" w:rsidRPr="007978D5" w:rsidRDefault="007978D5" w:rsidP="007978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78D5">
              <w:rPr>
                <w:rFonts w:ascii="Arial" w:eastAsia="Calibri" w:hAnsi="Arial" w:cs="Arial"/>
                <w:sz w:val="20"/>
                <w:szCs w:val="20"/>
              </w:rPr>
              <w:t>doložení plnění územního plánu, případně dalších regulací</w:t>
            </w:r>
          </w:p>
        </w:tc>
        <w:tc>
          <w:tcPr>
            <w:tcW w:w="1540" w:type="dxa"/>
            <w:vAlign w:val="center"/>
          </w:tcPr>
          <w:p w14:paraId="1BC0AFB5" w14:textId="3BF4345B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7422ADD3" w14:textId="77777777" w:rsidTr="00C4182C">
        <w:tc>
          <w:tcPr>
            <w:tcW w:w="6922" w:type="dxa"/>
            <w:vAlign w:val="center"/>
          </w:tcPr>
          <w:p w14:paraId="6908C1D0" w14:textId="270C3A5A" w:rsidR="007978D5" w:rsidRPr="007978D5" w:rsidRDefault="007978D5" w:rsidP="007978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78D5">
              <w:rPr>
                <w:rFonts w:ascii="Arial" w:eastAsia="Calibri" w:hAnsi="Arial" w:cs="Arial"/>
                <w:sz w:val="20"/>
                <w:szCs w:val="20"/>
              </w:rPr>
              <w:t>bilance (m</w:t>
            </w:r>
            <w:r w:rsidRPr="007978D5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2</w:t>
            </w:r>
            <w:r w:rsidRPr="007978D5">
              <w:rPr>
                <w:rFonts w:ascii="Arial" w:eastAsia="Calibri" w:hAnsi="Arial" w:cs="Arial"/>
                <w:sz w:val="20"/>
                <w:szCs w:val="20"/>
              </w:rPr>
              <w:t>, m</w:t>
            </w:r>
            <w:r w:rsidRPr="007978D5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3</w:t>
            </w:r>
            <w:r w:rsidRPr="007978D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540" w:type="dxa"/>
            <w:vAlign w:val="center"/>
          </w:tcPr>
          <w:p w14:paraId="10003CA1" w14:textId="22894E9E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03416468" w14:textId="77777777" w:rsidTr="00C4182C">
        <w:tc>
          <w:tcPr>
            <w:tcW w:w="6922" w:type="dxa"/>
            <w:vAlign w:val="center"/>
          </w:tcPr>
          <w:p w14:paraId="769128E1" w14:textId="5DC4B3F8" w:rsidR="007978D5" w:rsidRPr="007978D5" w:rsidRDefault="007978D5" w:rsidP="007978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technická zpráva</w:t>
            </w:r>
          </w:p>
        </w:tc>
        <w:tc>
          <w:tcPr>
            <w:tcW w:w="1540" w:type="dxa"/>
            <w:vAlign w:val="center"/>
          </w:tcPr>
          <w:p w14:paraId="39DA3574" w14:textId="0899C8C9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534E2EBE" w14:textId="77777777" w:rsidTr="00C4182C">
        <w:tc>
          <w:tcPr>
            <w:tcW w:w="6922" w:type="dxa"/>
            <w:vAlign w:val="center"/>
          </w:tcPr>
          <w:p w14:paraId="7341CA1F" w14:textId="04A1CF3A" w:rsidR="007978D5" w:rsidRPr="007978D5" w:rsidRDefault="000941D9" w:rsidP="007978D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orientační rozpočet nákladů Stavby</w:t>
            </w:r>
          </w:p>
        </w:tc>
        <w:tc>
          <w:tcPr>
            <w:tcW w:w="1540" w:type="dxa"/>
            <w:vAlign w:val="center"/>
          </w:tcPr>
          <w:p w14:paraId="3DF3F6C1" w14:textId="52338D25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7978D5" w:rsidRPr="004D2972" w14:paraId="1A728312" w14:textId="77777777" w:rsidTr="00C4182C">
        <w:tc>
          <w:tcPr>
            <w:tcW w:w="6922" w:type="dxa"/>
            <w:vAlign w:val="center"/>
          </w:tcPr>
          <w:p w14:paraId="10DE4715" w14:textId="164B0B74" w:rsidR="007978D5" w:rsidRPr="004D2972" w:rsidRDefault="000941D9" w:rsidP="007978D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termín dodání do 6 týdnů od obdržení digitálního podkladu pasportizace</w:t>
            </w:r>
          </w:p>
        </w:tc>
        <w:tc>
          <w:tcPr>
            <w:tcW w:w="1540" w:type="dxa"/>
            <w:vAlign w:val="center"/>
          </w:tcPr>
          <w:p w14:paraId="3A5999EA" w14:textId="77777777" w:rsidR="007978D5" w:rsidRPr="004D2972" w:rsidRDefault="007978D5" w:rsidP="007978D5">
            <w:pPr>
              <w:pStyle w:val="13Tabulkasted"/>
              <w:rPr>
                <w:highlight w:val="yellow"/>
              </w:rPr>
            </w:pPr>
            <w:bookmarkStart w:id="1" w:name="_Hlk204729150"/>
            <w:r w:rsidRPr="004D2972">
              <w:rPr>
                <w:highlight w:val="yellow"/>
              </w:rPr>
              <w:t>ANO/NE</w:t>
            </w:r>
            <w:bookmarkEnd w:id="1"/>
          </w:p>
        </w:tc>
      </w:tr>
    </w:tbl>
    <w:p w14:paraId="2130FF03" w14:textId="77777777" w:rsidR="007978D5" w:rsidRDefault="007978D5" w:rsidP="00431B26">
      <w:pPr>
        <w:pStyle w:val="06Odstavecneslovan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0941D9" w14:paraId="2141A061" w14:textId="77777777" w:rsidTr="00C4182C">
        <w:tc>
          <w:tcPr>
            <w:tcW w:w="8462" w:type="dxa"/>
            <w:gridSpan w:val="2"/>
          </w:tcPr>
          <w:p w14:paraId="41B6EA27" w14:textId="146A38F7" w:rsidR="000941D9" w:rsidRPr="00317A83" w:rsidRDefault="000941D9" w:rsidP="00C4182C">
            <w:pPr>
              <w:pStyle w:val="19Tabulkastedtun"/>
            </w:pPr>
            <w:r>
              <w:t>Podpůrné profese a odborné posudky</w:t>
            </w:r>
          </w:p>
        </w:tc>
      </w:tr>
      <w:tr w:rsidR="000941D9" w:rsidRPr="004D2972" w14:paraId="66A33A96" w14:textId="77777777" w:rsidTr="00C4182C">
        <w:tc>
          <w:tcPr>
            <w:tcW w:w="6922" w:type="dxa"/>
            <w:vAlign w:val="center"/>
          </w:tcPr>
          <w:p w14:paraId="6DB26448" w14:textId="529450B1" w:rsidR="000941D9" w:rsidRPr="004D2972" w:rsidRDefault="000941D9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statické posouzení zásahů do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Stavby</w:t>
            </w: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 vyplývajících z architektonické studie</w:t>
            </w:r>
          </w:p>
        </w:tc>
        <w:tc>
          <w:tcPr>
            <w:tcW w:w="1540" w:type="dxa"/>
            <w:vAlign w:val="center"/>
          </w:tcPr>
          <w:p w14:paraId="6FBDFD16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941D9" w:rsidRPr="004D2972" w14:paraId="64DF4E11" w14:textId="77777777" w:rsidTr="00C4182C">
        <w:tc>
          <w:tcPr>
            <w:tcW w:w="6922" w:type="dxa"/>
            <w:vAlign w:val="center"/>
          </w:tcPr>
          <w:p w14:paraId="1F0B879A" w14:textId="0B3B1662" w:rsidR="000941D9" w:rsidRPr="004D2972" w:rsidRDefault="000941D9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energetická koncepce rekonstrukce (topení, FTV, zásahy do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Stavby</w:t>
            </w: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>, předběžná ideová příprava pro projekt)</w:t>
            </w:r>
          </w:p>
        </w:tc>
        <w:tc>
          <w:tcPr>
            <w:tcW w:w="1540" w:type="dxa"/>
            <w:vAlign w:val="center"/>
          </w:tcPr>
          <w:p w14:paraId="185DE322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941D9" w:rsidRPr="004D2972" w14:paraId="2E322828" w14:textId="77777777" w:rsidTr="00C4182C">
        <w:tc>
          <w:tcPr>
            <w:tcW w:w="6922" w:type="dxa"/>
            <w:vAlign w:val="center"/>
          </w:tcPr>
          <w:p w14:paraId="65C2BD49" w14:textId="2B91FC34" w:rsidR="000941D9" w:rsidRPr="004D2972" w:rsidRDefault="000941D9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941D9">
              <w:rPr>
                <w:rFonts w:ascii="Arial" w:eastAsia="Calibri" w:hAnsi="Arial" w:cs="Arial"/>
                <w:sz w:val="20"/>
                <w:szCs w:val="20"/>
              </w:rPr>
              <w:t xml:space="preserve">dopravní napojení a obsluha 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941D9">
              <w:rPr>
                <w:rFonts w:ascii="Arial" w:eastAsia="Calibri" w:hAnsi="Arial" w:cs="Arial"/>
                <w:sz w:val="20"/>
                <w:szCs w:val="20"/>
              </w:rPr>
              <w:t>tavby</w:t>
            </w:r>
          </w:p>
        </w:tc>
        <w:tc>
          <w:tcPr>
            <w:tcW w:w="1540" w:type="dxa"/>
            <w:vAlign w:val="center"/>
          </w:tcPr>
          <w:p w14:paraId="7AE494EC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941D9" w:rsidRPr="004D2972" w14:paraId="0EC639E7" w14:textId="77777777" w:rsidTr="00C4182C">
        <w:tc>
          <w:tcPr>
            <w:tcW w:w="6922" w:type="dxa"/>
            <w:vAlign w:val="center"/>
          </w:tcPr>
          <w:p w14:paraId="553B5B46" w14:textId="64315C36" w:rsidR="000941D9" w:rsidRPr="004D2972" w:rsidRDefault="000941D9" w:rsidP="00C4182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parkovací kapacity</w:t>
            </w:r>
          </w:p>
        </w:tc>
        <w:tc>
          <w:tcPr>
            <w:tcW w:w="1540" w:type="dxa"/>
            <w:vAlign w:val="center"/>
          </w:tcPr>
          <w:p w14:paraId="612976FA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941D9" w:rsidRPr="004D2972" w14:paraId="44822B51" w14:textId="77777777" w:rsidTr="00C4182C">
        <w:tc>
          <w:tcPr>
            <w:tcW w:w="6922" w:type="dxa"/>
            <w:vAlign w:val="center"/>
          </w:tcPr>
          <w:p w14:paraId="65A807AA" w14:textId="1E6B9E8D" w:rsidR="000941D9" w:rsidRPr="007978D5" w:rsidRDefault="000941D9" w:rsidP="00C4182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návrh úprav veřejného prostoru v okolí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S</w:t>
            </w: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>tavby, vlečné křivky, posouzení</w:t>
            </w:r>
          </w:p>
        </w:tc>
        <w:tc>
          <w:tcPr>
            <w:tcW w:w="1540" w:type="dxa"/>
            <w:vAlign w:val="center"/>
          </w:tcPr>
          <w:p w14:paraId="7A3B0029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941D9" w:rsidRPr="004D2972" w14:paraId="079951B4" w14:textId="77777777" w:rsidTr="00C4182C">
        <w:tc>
          <w:tcPr>
            <w:tcW w:w="6922" w:type="dxa"/>
            <w:vAlign w:val="center"/>
          </w:tcPr>
          <w:p w14:paraId="50C4972B" w14:textId="6724D003" w:rsidR="000941D9" w:rsidRPr="007978D5" w:rsidRDefault="000941D9" w:rsidP="00C4182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termín </w:t>
            </w:r>
            <w:r w:rsidRPr="000941D9">
              <w:rPr>
                <w:rFonts w:ascii="Arial" w:eastAsia="Calibri" w:hAnsi="Arial" w:cs="Arial"/>
                <w:sz w:val="20"/>
                <w:szCs w:val="20"/>
              </w:rPr>
              <w:t xml:space="preserve">dodání do 5 týdnů od ukončení architektonické studie, příp.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dle </w:t>
            </w:r>
            <w:r w:rsidRPr="000941D9">
              <w:rPr>
                <w:rFonts w:ascii="Arial" w:eastAsia="Calibri" w:hAnsi="Arial" w:cs="Arial"/>
                <w:sz w:val="20"/>
                <w:szCs w:val="20"/>
              </w:rPr>
              <w:t xml:space="preserve">pokynu </w:t>
            </w:r>
            <w:r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Pr="000941D9">
              <w:rPr>
                <w:rFonts w:ascii="Arial" w:eastAsia="Calibri" w:hAnsi="Arial" w:cs="Arial"/>
                <w:sz w:val="20"/>
                <w:szCs w:val="20"/>
              </w:rPr>
              <w:t>adavatele</w:t>
            </w:r>
          </w:p>
        </w:tc>
        <w:tc>
          <w:tcPr>
            <w:tcW w:w="1540" w:type="dxa"/>
            <w:vAlign w:val="center"/>
          </w:tcPr>
          <w:p w14:paraId="20E8372C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</w:tbl>
    <w:p w14:paraId="73029D34" w14:textId="310A8126" w:rsidR="00431B26" w:rsidRDefault="00431B26" w:rsidP="00431B26">
      <w:pPr>
        <w:pStyle w:val="06Odstavecneslovan"/>
        <w:numPr>
          <w:ilvl w:val="0"/>
          <w:numId w:val="0"/>
        </w:numPr>
        <w:ind w:left="567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22"/>
        <w:gridCol w:w="1540"/>
      </w:tblGrid>
      <w:tr w:rsidR="000941D9" w14:paraId="44985A2A" w14:textId="77777777" w:rsidTr="00C4182C">
        <w:tc>
          <w:tcPr>
            <w:tcW w:w="8462" w:type="dxa"/>
            <w:gridSpan w:val="2"/>
          </w:tcPr>
          <w:p w14:paraId="30E10C0F" w14:textId="7F1ACBA4" w:rsidR="000941D9" w:rsidRPr="00317A83" w:rsidRDefault="000941D9" w:rsidP="00C4182C">
            <w:pPr>
              <w:pStyle w:val="19Tabulkastedtun"/>
            </w:pPr>
            <w:r>
              <w:t xml:space="preserve">Předběžný </w:t>
            </w:r>
            <w:proofErr w:type="spellStart"/>
            <w:r>
              <w:t>inženýring</w:t>
            </w:r>
            <w:proofErr w:type="spellEnd"/>
          </w:p>
        </w:tc>
      </w:tr>
      <w:tr w:rsidR="000941D9" w:rsidRPr="004D2972" w14:paraId="42DDECA5" w14:textId="77777777" w:rsidTr="00C4182C">
        <w:tc>
          <w:tcPr>
            <w:tcW w:w="6922" w:type="dxa"/>
            <w:vAlign w:val="center"/>
          </w:tcPr>
          <w:p w14:paraId="23C7D85F" w14:textId="73828C54" w:rsidR="000941D9" w:rsidRPr="004D2972" w:rsidRDefault="000941D9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>předběžné prodiskutování záměru s hlavními dotčenými orgány státní správy (Odbor životního prostředí, Odbor územního rozvoje, příp. další)</w:t>
            </w:r>
          </w:p>
        </w:tc>
        <w:tc>
          <w:tcPr>
            <w:tcW w:w="1540" w:type="dxa"/>
            <w:vAlign w:val="center"/>
          </w:tcPr>
          <w:p w14:paraId="44C4898E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  <w:tr w:rsidR="000941D9" w:rsidRPr="004D2972" w14:paraId="1A1CE490" w14:textId="77777777" w:rsidTr="00C4182C">
        <w:tc>
          <w:tcPr>
            <w:tcW w:w="6922" w:type="dxa"/>
            <w:vAlign w:val="center"/>
          </w:tcPr>
          <w:p w14:paraId="56CC4A89" w14:textId="6552322D" w:rsidR="000941D9" w:rsidRPr="004D2972" w:rsidRDefault="000941D9" w:rsidP="00C4182C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termín </w:t>
            </w:r>
            <w:r w:rsidRPr="000941D9">
              <w:rPr>
                <w:rFonts w:ascii="Arial" w:eastAsia="SimSun" w:hAnsi="Arial" w:cs="Arial"/>
                <w:color w:val="00000A"/>
                <w:sz w:val="20"/>
                <w:szCs w:val="20"/>
              </w:rPr>
              <w:t xml:space="preserve">dodání – závisí na lhůtách a operativnosti komunikace </w:t>
            </w:r>
            <w:r>
              <w:rPr>
                <w:rFonts w:ascii="Arial" w:eastAsia="SimSun" w:hAnsi="Arial" w:cs="Arial"/>
                <w:color w:val="00000A"/>
                <w:sz w:val="20"/>
                <w:szCs w:val="20"/>
              </w:rPr>
              <w:t>s dotčenými orgány státní správy</w:t>
            </w:r>
          </w:p>
        </w:tc>
        <w:tc>
          <w:tcPr>
            <w:tcW w:w="1540" w:type="dxa"/>
            <w:vAlign w:val="center"/>
          </w:tcPr>
          <w:p w14:paraId="76544661" w14:textId="77777777" w:rsidR="000941D9" w:rsidRPr="004D2972" w:rsidRDefault="000941D9" w:rsidP="00C4182C">
            <w:pPr>
              <w:pStyle w:val="13Tabulkasted"/>
              <w:rPr>
                <w:highlight w:val="yellow"/>
              </w:rPr>
            </w:pPr>
            <w:r w:rsidRPr="004D2972">
              <w:rPr>
                <w:highlight w:val="yellow"/>
              </w:rPr>
              <w:t>ANO/NE</w:t>
            </w:r>
          </w:p>
        </w:tc>
      </w:tr>
    </w:tbl>
    <w:p w14:paraId="7B095A7B" w14:textId="77777777" w:rsidR="000941D9" w:rsidRPr="004D2972" w:rsidRDefault="000941D9" w:rsidP="00431B26">
      <w:pPr>
        <w:pStyle w:val="06Odstavecneslovan"/>
        <w:numPr>
          <w:ilvl w:val="0"/>
          <w:numId w:val="0"/>
        </w:numPr>
        <w:ind w:left="567"/>
      </w:pPr>
    </w:p>
    <w:sectPr w:rsidR="000941D9" w:rsidRPr="004D2972" w:rsidSect="00431B26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C2F0B" w14:textId="77777777" w:rsidR="00A96A04" w:rsidRDefault="00A96A04" w:rsidP="00F237E9">
      <w:pPr>
        <w:spacing w:after="0" w:line="240" w:lineRule="auto"/>
      </w:pPr>
      <w:r>
        <w:separator/>
      </w:r>
    </w:p>
  </w:endnote>
  <w:endnote w:type="continuationSeparator" w:id="0">
    <w:p w14:paraId="26A97424" w14:textId="77777777" w:rsidR="00A96A04" w:rsidRDefault="00A96A04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0852" w14:textId="77777777" w:rsidR="00962ACA" w:rsidRDefault="00962ACA">
    <w:pPr>
      <w:pStyle w:val="Zpat"/>
      <w:jc w:val="center"/>
    </w:pPr>
  </w:p>
  <w:sdt>
    <w:sdtPr>
      <w:rPr>
        <w:rFonts w:ascii="Poppins" w:hAnsi="Poppins" w:cs="Poppins"/>
        <w:sz w:val="16"/>
        <w:szCs w:val="16"/>
      </w:rPr>
      <w:id w:val="-1691523357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7B46E0" w14:textId="2E69088F" w:rsidR="00962ACA" w:rsidRPr="00962ACA" w:rsidRDefault="00962ACA">
            <w:pPr>
              <w:pStyle w:val="Zpat"/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962ACA">
              <w:rPr>
                <w:rFonts w:ascii="Poppins" w:hAnsi="Poppins" w:cs="Poppins"/>
                <w:sz w:val="16"/>
                <w:szCs w:val="16"/>
              </w:rPr>
              <w:t xml:space="preserve">Stránka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PAGE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r w:rsidRPr="00962ACA">
              <w:rPr>
                <w:rFonts w:ascii="Poppins" w:hAnsi="Poppins" w:cs="Poppins"/>
                <w:sz w:val="16"/>
                <w:szCs w:val="16"/>
              </w:rPr>
              <w:t xml:space="preserve"> z 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begin"/>
            </w:r>
            <w:r w:rsidRPr="00962ACA">
              <w:rPr>
                <w:rFonts w:ascii="Poppins" w:hAnsi="Poppins" w:cs="Poppins"/>
                <w:sz w:val="16"/>
                <w:szCs w:val="16"/>
              </w:rPr>
              <w:instrText>NUMPAGES</w:instrTex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962ACA">
              <w:rPr>
                <w:rFonts w:ascii="Poppins" w:hAnsi="Poppins" w:cs="Poppins"/>
                <w:sz w:val="16"/>
                <w:szCs w:val="16"/>
              </w:rPr>
              <w:t>2</w:t>
            </w:r>
            <w:r w:rsidRPr="00962ACA">
              <w:rPr>
                <w:rFonts w:ascii="Poppins" w:hAnsi="Poppins" w:cs="Poppins"/>
                <w:sz w:val="16"/>
                <w:szCs w:val="16"/>
              </w:rPr>
              <w:fldChar w:fldCharType="end"/>
            </w:r>
          </w:p>
        </w:sdtContent>
      </w:sdt>
    </w:sdtContent>
  </w:sdt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8221D" w14:textId="77777777" w:rsidR="00A96A04" w:rsidRDefault="00A96A04" w:rsidP="00F237E9">
      <w:pPr>
        <w:spacing w:after="0" w:line="240" w:lineRule="auto"/>
      </w:pPr>
      <w:r>
        <w:separator/>
      </w:r>
    </w:p>
  </w:footnote>
  <w:footnote w:type="continuationSeparator" w:id="0">
    <w:p w14:paraId="5B2019F8" w14:textId="77777777" w:rsidR="00A96A04" w:rsidRDefault="00A96A04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7CD8BF5D" w:rsidR="00D26C45" w:rsidRPr="00925433" w:rsidRDefault="00B85E19" w:rsidP="00925433">
          <w:pPr>
            <w:pStyle w:val="17Hlavika-zhlav"/>
          </w:pPr>
          <w:r w:rsidRPr="00B85E19">
            <w:t>„</w:t>
          </w:r>
          <w:r w:rsidR="003D28A1">
            <w:t>Studie rekonstrukce výjezdové základny Mělník ZZS SK“</w:t>
          </w:r>
          <w:r w:rsidR="009075B1">
            <w:rPr>
              <w:noProof/>
            </w:rPr>
            <w:drawing>
              <wp:inline distT="0" distB="0" distL="0" distR="0" wp14:anchorId="172525D6" wp14:editId="07294A87">
                <wp:extent cx="1350000" cy="371428"/>
                <wp:effectExtent l="0" t="0" r="3175" b="0"/>
                <wp:docPr id="288394032" name="Obrázek 3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394032" name="Obrázek 3" descr="Obsah obrázku text, Písmo, logo, symbol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71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91223" w:rsidRPr="00925433">
            <w:tab/>
          </w:r>
          <w:r w:rsidR="003D28A1">
            <w:t>VZMR</w:t>
          </w:r>
        </w:p>
      </w:tc>
    </w:tr>
  </w:tbl>
  <w:p w14:paraId="294499E7" w14:textId="75D0501F" w:rsidR="00D26C45" w:rsidRDefault="00D26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40023EB7"/>
    <w:multiLevelType w:val="hybridMultilevel"/>
    <w:tmpl w:val="4DAAC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116"/>
    <w:multiLevelType w:val="hybridMultilevel"/>
    <w:tmpl w:val="52EA6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6717"/>
    <w:rsid w:val="000377BB"/>
    <w:rsid w:val="00041E07"/>
    <w:rsid w:val="00073BED"/>
    <w:rsid w:val="00075B02"/>
    <w:rsid w:val="000941D9"/>
    <w:rsid w:val="00095A71"/>
    <w:rsid w:val="000A0375"/>
    <w:rsid w:val="000A3581"/>
    <w:rsid w:val="000A5215"/>
    <w:rsid w:val="000B0038"/>
    <w:rsid w:val="000C75B7"/>
    <w:rsid w:val="000D382D"/>
    <w:rsid w:val="000F2895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93E9F"/>
    <w:rsid w:val="001B1815"/>
    <w:rsid w:val="001B4475"/>
    <w:rsid w:val="001C23E2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1CE5"/>
    <w:rsid w:val="002545B7"/>
    <w:rsid w:val="00254F19"/>
    <w:rsid w:val="00256350"/>
    <w:rsid w:val="00256517"/>
    <w:rsid w:val="002601C7"/>
    <w:rsid w:val="00261E5E"/>
    <w:rsid w:val="00271E22"/>
    <w:rsid w:val="002731BA"/>
    <w:rsid w:val="00280E96"/>
    <w:rsid w:val="00281332"/>
    <w:rsid w:val="00283F41"/>
    <w:rsid w:val="00290B58"/>
    <w:rsid w:val="002A312C"/>
    <w:rsid w:val="002D1696"/>
    <w:rsid w:val="002D6098"/>
    <w:rsid w:val="002D68A8"/>
    <w:rsid w:val="002F614C"/>
    <w:rsid w:val="00302CFE"/>
    <w:rsid w:val="00317A83"/>
    <w:rsid w:val="00335EAD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1507"/>
    <w:rsid w:val="003D28A1"/>
    <w:rsid w:val="003D6152"/>
    <w:rsid w:val="003E6054"/>
    <w:rsid w:val="003E6D95"/>
    <w:rsid w:val="003F1A96"/>
    <w:rsid w:val="003F2A6D"/>
    <w:rsid w:val="003F2B1D"/>
    <w:rsid w:val="003F5A37"/>
    <w:rsid w:val="003F6D9A"/>
    <w:rsid w:val="00405050"/>
    <w:rsid w:val="004059BE"/>
    <w:rsid w:val="004136AE"/>
    <w:rsid w:val="00414AD6"/>
    <w:rsid w:val="00431B26"/>
    <w:rsid w:val="00447737"/>
    <w:rsid w:val="00462279"/>
    <w:rsid w:val="00473D53"/>
    <w:rsid w:val="004862DF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2972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2359"/>
    <w:rsid w:val="005D5256"/>
    <w:rsid w:val="005E24D6"/>
    <w:rsid w:val="005E254F"/>
    <w:rsid w:val="005E409C"/>
    <w:rsid w:val="005E491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D0B7D"/>
    <w:rsid w:val="00711766"/>
    <w:rsid w:val="0071483C"/>
    <w:rsid w:val="00720F52"/>
    <w:rsid w:val="00726A40"/>
    <w:rsid w:val="00750F07"/>
    <w:rsid w:val="007548DC"/>
    <w:rsid w:val="0076049C"/>
    <w:rsid w:val="007611A0"/>
    <w:rsid w:val="00764C34"/>
    <w:rsid w:val="00795AFA"/>
    <w:rsid w:val="007978D5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26380"/>
    <w:rsid w:val="008343A6"/>
    <w:rsid w:val="00843F96"/>
    <w:rsid w:val="00844D98"/>
    <w:rsid w:val="00850682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256C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075B1"/>
    <w:rsid w:val="00912618"/>
    <w:rsid w:val="00923EF4"/>
    <w:rsid w:val="00925433"/>
    <w:rsid w:val="009357AD"/>
    <w:rsid w:val="00950436"/>
    <w:rsid w:val="00956161"/>
    <w:rsid w:val="00960087"/>
    <w:rsid w:val="00960138"/>
    <w:rsid w:val="00962ACA"/>
    <w:rsid w:val="00963E41"/>
    <w:rsid w:val="0096673B"/>
    <w:rsid w:val="009806C1"/>
    <w:rsid w:val="00984219"/>
    <w:rsid w:val="0098444B"/>
    <w:rsid w:val="00991AA1"/>
    <w:rsid w:val="00993FC7"/>
    <w:rsid w:val="00997DB7"/>
    <w:rsid w:val="009A5864"/>
    <w:rsid w:val="009A7F96"/>
    <w:rsid w:val="009B6271"/>
    <w:rsid w:val="009C32D8"/>
    <w:rsid w:val="009C3B0C"/>
    <w:rsid w:val="009C61F1"/>
    <w:rsid w:val="009C6256"/>
    <w:rsid w:val="009D241D"/>
    <w:rsid w:val="009D57E2"/>
    <w:rsid w:val="009E0F01"/>
    <w:rsid w:val="009E7FD8"/>
    <w:rsid w:val="009F1D1D"/>
    <w:rsid w:val="00A01082"/>
    <w:rsid w:val="00A0369C"/>
    <w:rsid w:val="00A17846"/>
    <w:rsid w:val="00A26949"/>
    <w:rsid w:val="00A269F3"/>
    <w:rsid w:val="00A304C3"/>
    <w:rsid w:val="00A348CB"/>
    <w:rsid w:val="00A44457"/>
    <w:rsid w:val="00A508C0"/>
    <w:rsid w:val="00A75EB4"/>
    <w:rsid w:val="00A94C2D"/>
    <w:rsid w:val="00A96A04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85E19"/>
    <w:rsid w:val="00BA62BF"/>
    <w:rsid w:val="00BA72A1"/>
    <w:rsid w:val="00BB0517"/>
    <w:rsid w:val="00BC0A3A"/>
    <w:rsid w:val="00BC1169"/>
    <w:rsid w:val="00BD7F03"/>
    <w:rsid w:val="00BE13E6"/>
    <w:rsid w:val="00BE25B8"/>
    <w:rsid w:val="00BE4CBA"/>
    <w:rsid w:val="00BE6799"/>
    <w:rsid w:val="00BE7711"/>
    <w:rsid w:val="00BF4164"/>
    <w:rsid w:val="00C02ED9"/>
    <w:rsid w:val="00C17DED"/>
    <w:rsid w:val="00C2022D"/>
    <w:rsid w:val="00C217C9"/>
    <w:rsid w:val="00C23CBE"/>
    <w:rsid w:val="00C24E7A"/>
    <w:rsid w:val="00C35E27"/>
    <w:rsid w:val="00C44182"/>
    <w:rsid w:val="00C679F6"/>
    <w:rsid w:val="00C73257"/>
    <w:rsid w:val="00C86862"/>
    <w:rsid w:val="00C9588B"/>
    <w:rsid w:val="00CC0705"/>
    <w:rsid w:val="00CC12AB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517F5"/>
    <w:rsid w:val="00D65A59"/>
    <w:rsid w:val="00D71FA9"/>
    <w:rsid w:val="00D744C8"/>
    <w:rsid w:val="00D751BE"/>
    <w:rsid w:val="00D76E09"/>
    <w:rsid w:val="00D85B9B"/>
    <w:rsid w:val="00D9051C"/>
    <w:rsid w:val="00D91C88"/>
    <w:rsid w:val="00D96731"/>
    <w:rsid w:val="00DA0E7A"/>
    <w:rsid w:val="00DA4D0D"/>
    <w:rsid w:val="00DA7C16"/>
    <w:rsid w:val="00DB2B8C"/>
    <w:rsid w:val="00DC0EEE"/>
    <w:rsid w:val="00DC1AC7"/>
    <w:rsid w:val="00DC21D7"/>
    <w:rsid w:val="00DC2E34"/>
    <w:rsid w:val="00DD7CFB"/>
    <w:rsid w:val="00DE1BCB"/>
    <w:rsid w:val="00DE60ED"/>
    <w:rsid w:val="00E01D07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287E"/>
    <w:rsid w:val="00E543B8"/>
    <w:rsid w:val="00E56B1C"/>
    <w:rsid w:val="00E5799A"/>
    <w:rsid w:val="00E60C14"/>
    <w:rsid w:val="00E77177"/>
    <w:rsid w:val="00E80291"/>
    <w:rsid w:val="00E911DF"/>
    <w:rsid w:val="00E9552F"/>
    <w:rsid w:val="00EA6C55"/>
    <w:rsid w:val="00EB3F5C"/>
    <w:rsid w:val="00EC2939"/>
    <w:rsid w:val="00EC657B"/>
    <w:rsid w:val="00ED4F2B"/>
    <w:rsid w:val="00ED58CE"/>
    <w:rsid w:val="00EE2923"/>
    <w:rsid w:val="00EF0AE4"/>
    <w:rsid w:val="00F237E9"/>
    <w:rsid w:val="00F43CDD"/>
    <w:rsid w:val="00F53C6F"/>
    <w:rsid w:val="00F73A44"/>
    <w:rsid w:val="00F835C2"/>
    <w:rsid w:val="00F83925"/>
    <w:rsid w:val="00F8615B"/>
    <w:rsid w:val="00FB3647"/>
    <w:rsid w:val="00FB76AF"/>
    <w:rsid w:val="00FC3B5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5287E"/>
    <w:pPr>
      <w:spacing w:after="0" w:line="240" w:lineRule="auto"/>
      <w:ind w:left="708"/>
    </w:pPr>
    <w:rPr>
      <w:rFonts w:ascii="Poppins" w:eastAsia="Times New Roman" w:hAnsi="Poppins" w:cs="Times New Roman"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E5287E"/>
    <w:rPr>
      <w:rFonts w:ascii="Poppins" w:eastAsia="Times New Roman" w:hAnsi="Poppins" w:cs="Times New Roman"/>
      <w:kern w:val="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29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9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9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9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9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op.gov.cz/cs/vyzvy-2021-2027/vyzvy/13vyzvairo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E126-84E7-46D1-8213-5BB0AF95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12</cp:revision>
  <cp:lastPrinted>2025-03-26T14:30:00Z</cp:lastPrinted>
  <dcterms:created xsi:type="dcterms:W3CDTF">2025-01-31T20:23:00Z</dcterms:created>
  <dcterms:modified xsi:type="dcterms:W3CDTF">2025-07-29T23:23:00Z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