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1D91577C" w:rsidR="00951948" w:rsidRPr="00885D66" w:rsidRDefault="00D34089" w:rsidP="00616073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616073" w:rsidRPr="00616073">
            <w:rPr>
              <w:rStyle w:val="Styl3"/>
            </w:rPr>
            <w:t>Zajištění odstranění nepovolených reklamních zařízení na území Středočeského kraje – Oblast Benešov III.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6250AC65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3B331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C593C6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9F67B7">
            <w:t xml:space="preserve">Bc. </w:t>
          </w:r>
          <w:r w:rsidR="00616073">
            <w:t>Milan Jonszta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r w:rsidR="00616073">
            <w:t>milan.jonszta</w:t>
          </w:r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CD3472">
            <w:t>602 436 864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46B03194" w:rsidR="00306196" w:rsidRPr="00306196" w:rsidRDefault="005B591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378D" w14:textId="77777777" w:rsidR="00DF46EC" w:rsidRDefault="00DF46EC">
      <w:r>
        <w:separator/>
      </w:r>
    </w:p>
  </w:endnote>
  <w:endnote w:type="continuationSeparator" w:id="0">
    <w:p w14:paraId="2D82C751" w14:textId="77777777" w:rsidR="00DF46EC" w:rsidRDefault="00DF46EC">
      <w:r>
        <w:continuationSeparator/>
      </w:r>
    </w:p>
  </w:endnote>
  <w:endnote w:type="continuationNotice" w:id="1">
    <w:p w14:paraId="683E624C" w14:textId="77777777" w:rsidR="00DF46EC" w:rsidRDefault="00DF46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06E4" w14:textId="77777777" w:rsidR="00DF46EC" w:rsidRDefault="00DF46EC">
      <w:r>
        <w:separator/>
      </w:r>
    </w:p>
  </w:footnote>
  <w:footnote w:type="continuationSeparator" w:id="0">
    <w:p w14:paraId="6F9A2CCE" w14:textId="77777777" w:rsidR="00DF46EC" w:rsidRDefault="00DF46EC">
      <w:r>
        <w:continuationSeparator/>
      </w:r>
    </w:p>
  </w:footnote>
  <w:footnote w:type="continuationNotice" w:id="1">
    <w:p w14:paraId="41E9143E" w14:textId="77777777" w:rsidR="00DF46EC" w:rsidRDefault="00DF46E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314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4685C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27D4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5916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46EC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C3442"/>
    <w:rsid w:val="001F36A7"/>
    <w:rsid w:val="002528A9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4685C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C06C2"/>
    <w:rsid w:val="006E4813"/>
    <w:rsid w:val="00710208"/>
    <w:rsid w:val="00717CF0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9482C"/>
    <w:rsid w:val="00BC3482"/>
    <w:rsid w:val="00C24560"/>
    <w:rsid w:val="00C44548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7444F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1139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7849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20</cp:revision>
  <cp:lastPrinted>2016-04-14T06:22:00Z</cp:lastPrinted>
  <dcterms:created xsi:type="dcterms:W3CDTF">2025-01-31T12:55:00Z</dcterms:created>
  <dcterms:modified xsi:type="dcterms:W3CDTF">2025-08-22T06:45:00Z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