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7451F980"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4D5423">
        <w:rPr>
          <w:rFonts w:ascii="Times New Roman" w:hAnsi="Times New Roman" w:cs="Times New Roman"/>
          <w:b/>
          <w:color w:val="000000" w:themeColor="text1"/>
          <w:sz w:val="24"/>
          <w:szCs w:val="24"/>
        </w:rPr>
        <w:t>Nákup laboratorních pomůcek</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proofErr w:type="gramStart"/>
            <w:r w:rsidRPr="005868E9">
              <w:rPr>
                <w:rFonts w:ascii="Arial" w:hAnsi="Arial" w:cs="Arial"/>
              </w:rPr>
              <w:t>Objednatel</w:t>
            </w:r>
            <w:r w:rsidRPr="005868E9">
              <w:rPr>
                <w:rFonts w:ascii="Arial" w:hAnsi="Arial" w:cs="Arial"/>
                <w:vertAlign w:val="superscript"/>
              </w:rPr>
              <w:footnoteReference w:customMarkFollows="1" w:id="2"/>
              <w:t>[</w:t>
            </w:r>
            <w:proofErr w:type="gramEnd"/>
            <w:r w:rsidRPr="005868E9">
              <w:rPr>
                <w:rFonts w:ascii="Arial" w:hAnsi="Arial" w:cs="Arial"/>
                <w:vertAlign w:val="superscript"/>
              </w:rPr>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8F6" w14:textId="77777777" w:rsidR="00594788" w:rsidRDefault="00594788" w:rsidP="00594788">
      <w:pPr>
        <w:spacing w:after="0" w:line="240" w:lineRule="auto"/>
      </w:pPr>
      <w:r>
        <w:separator/>
      </w:r>
    </w:p>
  </w:endnote>
  <w:endnote w:type="continuationSeparator" w:id="0">
    <w:p w14:paraId="7B42D5F5" w14:textId="77777777" w:rsidR="00594788" w:rsidRDefault="00594788"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31C8" w14:textId="77777777" w:rsidR="00594788" w:rsidRDefault="00594788" w:rsidP="00594788">
      <w:pPr>
        <w:spacing w:after="0" w:line="240" w:lineRule="auto"/>
      </w:pPr>
      <w:r>
        <w:separator/>
      </w:r>
    </w:p>
  </w:footnote>
  <w:footnote w:type="continuationSeparator" w:id="0">
    <w:p w14:paraId="68A3B4CA" w14:textId="77777777" w:rsidR="00594788" w:rsidRDefault="00594788"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2071AE"/>
    <w:rsid w:val="00280739"/>
    <w:rsid w:val="00325312"/>
    <w:rsid w:val="004832B0"/>
    <w:rsid w:val="004D5423"/>
    <w:rsid w:val="00586461"/>
    <w:rsid w:val="00594788"/>
    <w:rsid w:val="0063236B"/>
    <w:rsid w:val="00672A1D"/>
    <w:rsid w:val="007051C0"/>
    <w:rsid w:val="00734193"/>
    <w:rsid w:val="00921378"/>
    <w:rsid w:val="00947913"/>
    <w:rsid w:val="009E4EB9"/>
    <w:rsid w:val="00A030BA"/>
    <w:rsid w:val="00AE016B"/>
    <w:rsid w:val="00AE2388"/>
    <w:rsid w:val="00B04979"/>
    <w:rsid w:val="00B166B8"/>
    <w:rsid w:val="00B436D8"/>
    <w:rsid w:val="00BC30C2"/>
    <w:rsid w:val="00C214F0"/>
    <w:rsid w:val="00C53FBD"/>
    <w:rsid w:val="00C65778"/>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23</cp:revision>
  <dcterms:created xsi:type="dcterms:W3CDTF">2022-09-21T06:39:00Z</dcterms:created>
  <dcterms:modified xsi:type="dcterms:W3CDTF">2025-04-24T11:24:00Z</dcterms:modified>
</cp:coreProperties>
</file>