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CC2AA3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875288" w:rsidRPr="00875288">
            <w:rPr>
              <w:b/>
              <w:sz w:val="22"/>
              <w:szCs w:val="22"/>
            </w:rPr>
            <w:t>II/272J Starý Vestec</w:t>
          </w:r>
        </w:sdtContent>
      </w:sdt>
      <w:r w:rsidRPr="00F04838">
        <w:rPr>
          <w:sz w:val="22"/>
          <w:szCs w:val="22"/>
        </w:rPr>
        <w:t>“, a to v následujícím rozsahu:</w:t>
      </w:r>
    </w:p>
    <w:p w14:paraId="656C2E9A" w14:textId="74F790A2" w:rsidR="000364FD" w:rsidRPr="000364FD" w:rsidRDefault="00377D0F" w:rsidP="00957FB5">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957FB5" w:rsidRPr="00107105">
        <w:rPr>
          <w:sz w:val="22"/>
          <w:szCs w:val="22"/>
        </w:rPr>
        <w:t xml:space="preserve">oprava povrchu vozovky v délce 290 m. Bude provedeno frézování živičných vrstev hloubky 50 mm a následně pokládka obrusné vrstvy ACO 11+ v mocnosti 50 mm, to vše vč. spojovacích postřiků. V místě napojení obrusných vrstev bude provedeno ošetření spár. Součástí stavebních prací je odstranění navýšených krajnic a zřízení nových z asfaltového r-materiálu frakce 0-22, včetně odvozu na skládku. Dále bude provedena výměna </w:t>
      </w:r>
      <w:r w:rsidR="00957FB5" w:rsidRPr="00107105">
        <w:rPr>
          <w:sz w:val="22"/>
          <w:szCs w:val="22"/>
        </w:rPr>
        <w:lastRenderedPageBreak/>
        <w:t>svodidla na začátku řešeného úseku a bude zřízeno VDZ (vodící proužky šířky 12,5 cm) v provedení barva.</w:t>
      </w:r>
      <w:sdt>
        <w:sdtPr>
          <w:rPr>
            <w:sz w:val="22"/>
            <w:szCs w:val="22"/>
          </w:rPr>
          <w:tag w:val="Vložte předmět díla"/>
          <w:id w:val="454841415"/>
          <w:placeholder>
            <w:docPart w:val="35F13AFE55934F0AA713A04734C375BB"/>
          </w:placeholder>
          <w15:appearance w15:val="hidden"/>
          <w:text w:multiLine="1"/>
        </w:sdtPr>
        <w:sdtEndPr/>
        <w:sdtContent>
          <w:r w:rsidR="00FC767A">
            <w:rPr>
              <w:sz w:val="22"/>
              <w:szCs w:val="22"/>
            </w:rPr>
            <w:t xml:space="preserve"> </w:t>
          </w:r>
          <w:r w:rsidR="00957FB5" w:rsidRPr="000B2934">
            <w:rPr>
              <w:sz w:val="22"/>
              <w:szCs w:val="22"/>
            </w:rPr>
            <w:t>Veškeré provedené práce budou dle platných norem ČSN, TP.</w:t>
          </w:r>
        </w:sdtContent>
      </w:sdt>
    </w:p>
    <w:p w14:paraId="2D052EFD" w14:textId="0244BB8A" w:rsidR="00E51CE4" w:rsidRPr="00E51CE4" w:rsidRDefault="00E51CE4" w:rsidP="000364FD">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66FC734"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lastRenderedPageBreak/>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lastRenderedPageBreak/>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7149982"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45709F">
        <w:rPr>
          <w:b/>
          <w:bCs/>
          <w:sz w:val="22"/>
          <w:szCs w:val="22"/>
        </w:rPr>
        <w:t>3</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xml:space="preserve">) </w:t>
      </w:r>
      <w:r>
        <w:rPr>
          <w:sz w:val="22"/>
          <w:szCs w:val="22"/>
        </w:rPr>
        <w:lastRenderedPageBreak/>
        <w:t>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w:t>
      </w:r>
      <w:r w:rsidRPr="00435382">
        <w:rPr>
          <w:sz w:val="22"/>
          <w:szCs w:val="22"/>
        </w:rPr>
        <w:lastRenderedPageBreak/>
        <w:t>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xml:space="preserve">) dodávkách zařízení a materiálu na Staveniště, vč. údajů o výrobci, místu </w:t>
      </w:r>
      <w:r w:rsidRPr="00DF1D39">
        <w:rPr>
          <w:sz w:val="22"/>
          <w:szCs w:val="22"/>
        </w:rPr>
        <w:lastRenderedPageBreak/>
        <w:t>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w:t>
      </w:r>
      <w:r w:rsidRPr="00365FD7">
        <w:rPr>
          <w:sz w:val="22"/>
          <w:szCs w:val="22"/>
        </w:rPr>
        <w:lastRenderedPageBreak/>
        <w:t xml:space="preserve">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V případě, že není možné Cenu Díla stanovit ani tímto způsobem, bude Cena Díla </w:t>
      </w:r>
      <w:r>
        <w:rPr>
          <w:sz w:val="22"/>
          <w:szCs w:val="22"/>
        </w:rPr>
        <w:lastRenderedPageBreak/>
        <w:t>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6DEDE5B"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53139">
        <w:rPr>
          <w:sz w:val="22"/>
          <w:szCs w:val="22"/>
        </w:rPr>
        <w:t>Lenka Chmelová</w:t>
      </w:r>
    </w:p>
    <w:p w14:paraId="2998E903" w14:textId="47F60CC6"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BD404F" w:rsidRPr="006450F9">
          <w:rPr>
            <w:rStyle w:val="Hypertextovodkaz"/>
            <w:sz w:val="22"/>
            <w:szCs w:val="22"/>
          </w:rPr>
          <w:t>lenka.chmelova@ksus.cz</w:t>
        </w:r>
      </w:hyperlink>
    </w:p>
    <w:p w14:paraId="78923641" w14:textId="77777777" w:rsidR="00BD404F" w:rsidRDefault="00D62386" w:rsidP="00BD404F">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BD404F" w:rsidRPr="0093032E">
        <w:rPr>
          <w:sz w:val="22"/>
          <w:szCs w:val="22"/>
        </w:rPr>
        <w:t>736 623 720</w:t>
      </w:r>
    </w:p>
    <w:p w14:paraId="1C3842DE"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r>
    </w:p>
    <w:p w14:paraId="3569FDD0"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provozní cestmistr</w:t>
      </w:r>
    </w:p>
    <w:p w14:paraId="3E3AF31F" w14:textId="7E9AFB83" w:rsidR="00BD404F" w:rsidRDefault="00BD404F" w:rsidP="00BD404F">
      <w:pPr>
        <w:pStyle w:val="Textodst1sl"/>
        <w:numPr>
          <w:ilvl w:val="0"/>
          <w:numId w:val="0"/>
        </w:numPr>
        <w:ind w:left="709"/>
        <w:rPr>
          <w:sz w:val="22"/>
          <w:szCs w:val="22"/>
        </w:rPr>
      </w:pPr>
      <w:r>
        <w:rPr>
          <w:sz w:val="22"/>
          <w:szCs w:val="22"/>
        </w:rPr>
        <w:tab/>
      </w:r>
      <w:r>
        <w:rPr>
          <w:sz w:val="22"/>
          <w:szCs w:val="22"/>
        </w:rPr>
        <w:tab/>
        <w:t>jméno:</w:t>
      </w:r>
      <w:r>
        <w:rPr>
          <w:sz w:val="22"/>
          <w:szCs w:val="22"/>
        </w:rPr>
        <w:tab/>
        <w:t>Bc. Tomáš Karásek</w:t>
      </w:r>
    </w:p>
    <w:p w14:paraId="768DCEF0" w14:textId="7B2219B2" w:rsidR="00BD404F" w:rsidRDefault="00BD404F" w:rsidP="00BD404F">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6450F9">
          <w:rPr>
            <w:rStyle w:val="Hypertextovodkaz"/>
            <w:sz w:val="22"/>
            <w:szCs w:val="22"/>
          </w:rPr>
          <w:t>tomas.karasek@ksus.cz</w:t>
        </w:r>
      </w:hyperlink>
    </w:p>
    <w:p w14:paraId="3948D5DC" w14:textId="67B14B8C" w:rsidR="00BD404F" w:rsidRDefault="00BD404F" w:rsidP="00BD404F">
      <w:pPr>
        <w:pStyle w:val="Textodst1sl"/>
        <w:numPr>
          <w:ilvl w:val="0"/>
          <w:numId w:val="0"/>
        </w:numPr>
        <w:ind w:left="709"/>
        <w:rPr>
          <w:sz w:val="22"/>
          <w:szCs w:val="22"/>
        </w:rPr>
      </w:pPr>
      <w:r>
        <w:rPr>
          <w:sz w:val="22"/>
          <w:szCs w:val="22"/>
        </w:rPr>
        <w:tab/>
      </w:r>
      <w:r>
        <w:rPr>
          <w:sz w:val="22"/>
          <w:szCs w:val="22"/>
        </w:rPr>
        <w:tab/>
        <w:t>tel.:</w:t>
      </w:r>
      <w:r>
        <w:rPr>
          <w:sz w:val="22"/>
          <w:szCs w:val="22"/>
        </w:rPr>
        <w:tab/>
      </w:r>
      <w:r w:rsidR="00B36042">
        <w:rPr>
          <w:sz w:val="22"/>
          <w:szCs w:val="22"/>
        </w:rPr>
        <w:t>736 623 707</w:t>
      </w:r>
    </w:p>
    <w:p w14:paraId="3A411863" w14:textId="77777777" w:rsidR="00BD404F" w:rsidRDefault="00BD404F" w:rsidP="00BD404F">
      <w:pPr>
        <w:pStyle w:val="Textodst1sl"/>
        <w:numPr>
          <w:ilvl w:val="0"/>
          <w:numId w:val="0"/>
        </w:numPr>
        <w:ind w:left="709"/>
        <w:rPr>
          <w:sz w:val="22"/>
          <w:szCs w:val="22"/>
        </w:rPr>
      </w:pPr>
    </w:p>
    <w:p w14:paraId="6E516208"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projektový manažer staveb</w:t>
      </w:r>
    </w:p>
    <w:p w14:paraId="432AC577"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AE64A1C" w14:textId="77777777" w:rsidR="00BD404F" w:rsidRDefault="00BD404F" w:rsidP="00BD404F">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4FB5F2E1"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233925C"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r>
    </w:p>
    <w:p w14:paraId="5F82871F"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projektový manažer staveb</w:t>
      </w:r>
    </w:p>
    <w:p w14:paraId="2D8696D7"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1F558322" w14:textId="77777777" w:rsidR="00BD404F" w:rsidRDefault="00BD404F" w:rsidP="00BD404F">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2E947EB4" w14:textId="7572C3AB" w:rsidR="00BD404F" w:rsidRDefault="00BD404F" w:rsidP="00BD404F">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1213" w14:textId="77777777" w:rsidR="00902909" w:rsidRDefault="00902909" w:rsidP="003C6092">
      <w:r>
        <w:separator/>
      </w:r>
    </w:p>
  </w:endnote>
  <w:endnote w:type="continuationSeparator" w:id="0">
    <w:p w14:paraId="7C14FED7" w14:textId="77777777" w:rsidR="00902909" w:rsidRDefault="0090290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ADDA" w14:textId="77777777" w:rsidR="00902909" w:rsidRDefault="00902909" w:rsidP="003C6092">
      <w:r>
        <w:separator/>
      </w:r>
    </w:p>
  </w:footnote>
  <w:footnote w:type="continuationSeparator" w:id="0">
    <w:p w14:paraId="2B2ACF99" w14:textId="77777777" w:rsidR="00902909" w:rsidRDefault="0090290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5709F"/>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288"/>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C767A"/>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kara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35F13AFE55934F0AA713A04734C375BB"/>
        <w:category>
          <w:name w:val="Obecné"/>
          <w:gallery w:val="placeholder"/>
        </w:category>
        <w:types>
          <w:type w:val="bbPlcHdr"/>
        </w:types>
        <w:behaviors>
          <w:behavior w:val="content"/>
        </w:behaviors>
        <w:guid w:val="{64332F39-1909-4BAF-99A7-636E8EE15BE7}"/>
      </w:docPartPr>
      <w:docPartBody>
        <w:p w:rsidR="00C7079A" w:rsidRDefault="00C7079A" w:rsidP="00C7079A">
          <w:pPr>
            <w:pStyle w:val="35F13AFE55934F0AA713A04734C375BB"/>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B2AE7"/>
    <w:rsid w:val="004C2054"/>
    <w:rsid w:val="0055396F"/>
    <w:rsid w:val="0070317C"/>
    <w:rsid w:val="007C0857"/>
    <w:rsid w:val="00917EA0"/>
    <w:rsid w:val="00946173"/>
    <w:rsid w:val="00974D17"/>
    <w:rsid w:val="009C41D7"/>
    <w:rsid w:val="00A47E8C"/>
    <w:rsid w:val="00A74CD3"/>
    <w:rsid w:val="00AA09CC"/>
    <w:rsid w:val="00C7079A"/>
    <w:rsid w:val="00C8534D"/>
    <w:rsid w:val="00D50260"/>
    <w:rsid w:val="00D65C5B"/>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079A"/>
    <w:rPr>
      <w:color w:val="808080"/>
    </w:rPr>
  </w:style>
  <w:style w:type="paragraph" w:customStyle="1" w:styleId="6337501D478C4B9F8E04E3AB8485B997">
    <w:name w:val="6337501D478C4B9F8E04E3AB8485B997"/>
    <w:rsid w:val="00F40F64"/>
  </w:style>
  <w:style w:type="paragraph" w:customStyle="1" w:styleId="35F13AFE55934F0AA713A04734C375BB">
    <w:name w:val="35F13AFE55934F0AA713A04734C375BB"/>
    <w:rsid w:val="00C70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27</Pages>
  <Words>9373</Words>
  <Characters>57978</Characters>
  <Application>Microsoft Office Word</Application>
  <DocSecurity>0</DocSecurity>
  <Lines>483</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111</cp:revision>
  <dcterms:created xsi:type="dcterms:W3CDTF">2024-12-10T11:36:00Z</dcterms:created>
  <dcterms:modified xsi:type="dcterms:W3CDTF">2025-07-02T08:47:00Z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