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619DC" w14:textId="77777777" w:rsidR="00171D71" w:rsidRPr="00FA59A3" w:rsidRDefault="00171D71" w:rsidP="00171D71">
      <w:pPr>
        <w:spacing w:after="0" w:line="240" w:lineRule="auto"/>
        <w:jc w:val="center"/>
        <w:rPr>
          <w:rFonts w:ascii="Times New Roman" w:hAnsi="Times New Roman" w:cs="Times New Roman"/>
          <w:b/>
          <w:bCs/>
          <w:sz w:val="24"/>
        </w:rPr>
      </w:pPr>
      <w:r w:rsidRPr="00FA59A3">
        <w:rPr>
          <w:rFonts w:ascii="Times New Roman" w:hAnsi="Times New Roman" w:cs="Times New Roman"/>
          <w:b/>
          <w:bCs/>
          <w:sz w:val="24"/>
        </w:rPr>
        <w:t>ČESTNÉ PROHLÁŠENÍ O NEEXISTENCI STŘETU ZÁJMŮ, MEZINÁRODNÍ SANKCE</w:t>
      </w:r>
    </w:p>
    <w:p w14:paraId="0DDAD3A8" w14:textId="77777777" w:rsidR="00171D71" w:rsidRPr="00171D71" w:rsidRDefault="00171D71" w:rsidP="00171D71">
      <w:pPr>
        <w:spacing w:after="0" w:line="240" w:lineRule="auto"/>
        <w:jc w:val="center"/>
        <w:rPr>
          <w:rFonts w:ascii="Times New Roman" w:hAnsi="Times New Roman" w:cs="Times New Roman"/>
          <w:b/>
          <w:i/>
        </w:rPr>
      </w:pPr>
    </w:p>
    <w:p w14:paraId="60C85CCC" w14:textId="18E596DA" w:rsidR="00171D71" w:rsidRPr="00275764" w:rsidRDefault="00171D71" w:rsidP="00275764">
      <w:pPr>
        <w:spacing w:after="0" w:line="240" w:lineRule="auto"/>
        <w:ind w:left="1410" w:hanging="1410"/>
        <w:rPr>
          <w:rFonts w:ascii="Times New Roman" w:hAnsi="Times New Roman" w:cs="Times New Roman"/>
        </w:rPr>
      </w:pPr>
      <w:r w:rsidRPr="00275764">
        <w:rPr>
          <w:rFonts w:ascii="Times New Roman" w:hAnsi="Times New Roman" w:cs="Times New Roman"/>
        </w:rPr>
        <w:t xml:space="preserve">Název VZMR: </w:t>
      </w:r>
      <w:r w:rsidRPr="00275764">
        <w:rPr>
          <w:rFonts w:ascii="Times New Roman" w:hAnsi="Times New Roman" w:cs="Times New Roman"/>
        </w:rPr>
        <w:tab/>
      </w:r>
      <w:r w:rsidR="00DA7B1B">
        <w:rPr>
          <w:rFonts w:ascii="Times New Roman" w:hAnsi="Times New Roman" w:cs="Times New Roman"/>
          <w:b/>
        </w:rPr>
        <w:t>„NÁKUP MODERNÍCH UČEBNÍCH POMŮCEK PRO PRECIZNÍ ZEMĚDĚLSTVÍ“</w:t>
      </w:r>
      <w:bookmarkStart w:id="0" w:name="_GoBack"/>
      <w:bookmarkEnd w:id="0"/>
    </w:p>
    <w:p w14:paraId="1CB53FC6" w14:textId="77777777" w:rsidR="00746991" w:rsidRPr="00746991" w:rsidRDefault="00746991" w:rsidP="00746991">
      <w:pPr>
        <w:spacing w:after="0" w:line="240" w:lineRule="auto"/>
        <w:ind w:left="1416"/>
        <w:rPr>
          <w:rFonts w:ascii="Times New Roman" w:hAnsi="Times New Roman" w:cs="Times New Roman"/>
        </w:rPr>
      </w:pPr>
    </w:p>
    <w:p w14:paraId="1B438F4A" w14:textId="77777777" w:rsidR="00746991" w:rsidRDefault="00171D71" w:rsidP="00746991">
      <w:pPr>
        <w:spacing w:after="0" w:line="240" w:lineRule="auto"/>
        <w:rPr>
          <w:rFonts w:ascii="Times New Roman" w:hAnsi="Times New Roman" w:cs="Times New Roman"/>
          <w:b/>
        </w:rPr>
      </w:pPr>
      <w:r w:rsidRPr="00746991">
        <w:rPr>
          <w:rFonts w:ascii="Times New Roman" w:hAnsi="Times New Roman" w:cs="Times New Roman"/>
          <w:b/>
        </w:rPr>
        <w:t xml:space="preserve">Zadavatel: </w:t>
      </w:r>
      <w:r w:rsidR="00746991">
        <w:rPr>
          <w:rFonts w:ascii="Times New Roman" w:hAnsi="Times New Roman" w:cs="Times New Roman"/>
          <w:b/>
        </w:rPr>
        <w:tab/>
      </w:r>
      <w:r w:rsidRPr="00746991">
        <w:rPr>
          <w:rFonts w:ascii="Times New Roman" w:hAnsi="Times New Roman" w:cs="Times New Roman"/>
          <w:b/>
        </w:rPr>
        <w:t xml:space="preserve">Střední odborné učiliště, Hubálov 17, IČO: 00069566, </w:t>
      </w:r>
    </w:p>
    <w:p w14:paraId="2D7131B4" w14:textId="1BAB18E0" w:rsidR="00171D71" w:rsidRPr="00746991" w:rsidRDefault="00171D71" w:rsidP="00746991">
      <w:pPr>
        <w:spacing w:after="0" w:line="240" w:lineRule="auto"/>
        <w:ind w:left="708" w:firstLine="708"/>
        <w:rPr>
          <w:rFonts w:ascii="Times New Roman" w:hAnsi="Times New Roman" w:cs="Times New Roman"/>
          <w:b/>
        </w:rPr>
      </w:pPr>
      <w:r w:rsidRPr="00746991">
        <w:rPr>
          <w:rFonts w:ascii="Times New Roman" w:hAnsi="Times New Roman" w:cs="Times New Roman"/>
          <w:b/>
        </w:rPr>
        <w:t>se</w:t>
      </w:r>
      <w:r w:rsidR="00746991">
        <w:rPr>
          <w:rFonts w:ascii="Times New Roman" w:hAnsi="Times New Roman" w:cs="Times New Roman"/>
          <w:b/>
        </w:rPr>
        <w:t xml:space="preserve"> sídlem: Loukovec, Hubálov 17, </w:t>
      </w:r>
      <w:r w:rsidRPr="00746991">
        <w:rPr>
          <w:rFonts w:ascii="Times New Roman" w:hAnsi="Times New Roman" w:cs="Times New Roman"/>
          <w:b/>
        </w:rPr>
        <w:t xml:space="preserve">294 11  Loukov </w:t>
      </w:r>
    </w:p>
    <w:p w14:paraId="4BBD41E2" w14:textId="77777777" w:rsidR="00746991" w:rsidRDefault="00746991" w:rsidP="00171D71">
      <w:pPr>
        <w:spacing w:after="0" w:line="240" w:lineRule="auto"/>
        <w:jc w:val="center"/>
        <w:rPr>
          <w:rFonts w:ascii="Times New Roman" w:hAnsi="Times New Roman" w:cs="Times New Roman"/>
          <w:b/>
          <w:bCs/>
          <w:i/>
          <w:iCs/>
        </w:rPr>
      </w:pPr>
    </w:p>
    <w:p w14:paraId="6A8CA1E0" w14:textId="0DE600E6" w:rsidR="00171D71" w:rsidRPr="00171D71" w:rsidRDefault="00171D71" w:rsidP="00171D71">
      <w:pPr>
        <w:spacing w:after="0" w:line="240" w:lineRule="auto"/>
        <w:jc w:val="center"/>
        <w:rPr>
          <w:rFonts w:ascii="Times New Roman" w:hAnsi="Times New Roman" w:cs="Times New Roman"/>
          <w:b/>
          <w:bCs/>
          <w:i/>
          <w:iCs/>
        </w:rPr>
      </w:pPr>
      <w:r w:rsidRPr="00171D71">
        <w:rPr>
          <w:rFonts w:ascii="Times New Roman" w:hAnsi="Times New Roman" w:cs="Times New Roman"/>
          <w:b/>
          <w:bCs/>
          <w:i/>
          <w:iCs/>
        </w:rPr>
        <w:t>Mezinárodní sankce</w:t>
      </w:r>
    </w:p>
    <w:p w14:paraId="302B0643" w14:textId="77777777" w:rsidR="00171D71" w:rsidRPr="00171D71" w:rsidRDefault="00171D71" w:rsidP="00171D71">
      <w:pPr>
        <w:spacing w:after="0" w:line="240" w:lineRule="auto"/>
        <w:jc w:val="both"/>
        <w:rPr>
          <w:rFonts w:ascii="Times New Roman" w:hAnsi="Times New Roman" w:cs="Times New Roman"/>
        </w:rPr>
      </w:pPr>
    </w:p>
    <w:p w14:paraId="654A5936" w14:textId="479CAC79" w:rsidR="00171D71" w:rsidRDefault="00171D71" w:rsidP="00171D71">
      <w:pPr>
        <w:spacing w:after="0" w:line="240" w:lineRule="auto"/>
        <w:jc w:val="both"/>
        <w:rPr>
          <w:rFonts w:ascii="Times New Roman" w:hAnsi="Times New Roman" w:cs="Times New Roman"/>
        </w:rPr>
      </w:pPr>
      <w:r w:rsidRPr="00171D71">
        <w:rPr>
          <w:rFonts w:ascii="Times New Roman" w:hAnsi="Times New Roman" w:cs="Times New Roman"/>
        </w:rPr>
        <w:t xml:space="preserve">Dodavatel </w:t>
      </w:r>
      <w:r w:rsidRPr="00171D71">
        <w:rPr>
          <w:rFonts w:ascii="Times New Roman" w:hAnsi="Times New Roman" w:cs="Times New Roman"/>
          <w:highlight w:val="yellow"/>
        </w:rPr>
        <w:t>[k doplnění]</w:t>
      </w:r>
      <w:r w:rsidRPr="00171D71">
        <w:rPr>
          <w:rFonts w:ascii="Times New Roman" w:hAnsi="Times New Roman" w:cs="Times New Roman"/>
        </w:rPr>
        <w:t xml:space="preserve">, se sídlem </w:t>
      </w:r>
      <w:r w:rsidRPr="00171D71">
        <w:rPr>
          <w:rFonts w:ascii="Times New Roman" w:hAnsi="Times New Roman" w:cs="Times New Roman"/>
          <w:highlight w:val="yellow"/>
        </w:rPr>
        <w:t>[k doplnění]</w:t>
      </w:r>
      <w:r w:rsidRPr="00171D71">
        <w:rPr>
          <w:rFonts w:ascii="Times New Roman" w:hAnsi="Times New Roman" w:cs="Times New Roman"/>
        </w:rPr>
        <w:t xml:space="preserve">, IČO </w:t>
      </w:r>
      <w:r w:rsidRPr="00171D71">
        <w:rPr>
          <w:rFonts w:ascii="Times New Roman" w:hAnsi="Times New Roman" w:cs="Times New Roman"/>
          <w:highlight w:val="yellow"/>
        </w:rPr>
        <w:t>[k doplnění]</w:t>
      </w:r>
      <w:r w:rsidRPr="00171D71">
        <w:rPr>
          <w:rFonts w:ascii="Times New Roman" w:hAnsi="Times New Roman" w:cs="Times New Roman"/>
        </w:rPr>
        <w:t xml:space="preserve"> (dále jen „</w:t>
      </w:r>
      <w:r w:rsidRPr="00171D71">
        <w:rPr>
          <w:rFonts w:ascii="Times New Roman" w:hAnsi="Times New Roman" w:cs="Times New Roman"/>
          <w:b/>
          <w:bCs/>
          <w:i/>
          <w:iCs/>
        </w:rPr>
        <w:t>Dodavatel</w:t>
      </w:r>
      <w:r w:rsidRPr="00171D71">
        <w:rPr>
          <w:rFonts w:ascii="Times New Roman" w:hAnsi="Times New Roman" w:cs="Times New Roman"/>
        </w:rPr>
        <w:t>“) tímto prohlašuje, že:</w:t>
      </w:r>
    </w:p>
    <w:p w14:paraId="609176AC" w14:textId="77777777" w:rsidR="002D0F33" w:rsidRPr="00171D71" w:rsidRDefault="002D0F33" w:rsidP="00171D71">
      <w:pPr>
        <w:spacing w:after="0" w:line="240" w:lineRule="auto"/>
        <w:jc w:val="both"/>
        <w:rPr>
          <w:rFonts w:ascii="Times New Roman" w:hAnsi="Times New Roman" w:cs="Times New Roman"/>
        </w:rPr>
      </w:pPr>
    </w:p>
    <w:p w14:paraId="704D5E22" w14:textId="77777777" w:rsidR="00171D71" w:rsidRPr="00171D71" w:rsidRDefault="00171D71" w:rsidP="00171D71">
      <w:pPr>
        <w:pStyle w:val="Odstavecseseznamem"/>
        <w:keepNext/>
        <w:numPr>
          <w:ilvl w:val="0"/>
          <w:numId w:val="4"/>
        </w:numPr>
        <w:jc w:val="both"/>
        <w:rPr>
          <w:rFonts w:ascii="Times New Roman" w:hAnsi="Times New Roman" w:cs="Times New Roman"/>
        </w:rPr>
      </w:pPr>
      <w:r w:rsidRPr="00171D71">
        <w:rPr>
          <w:rFonts w:ascii="Times New Roman" w:hAnsi="Times New Roman" w:cs="Times New Roman"/>
        </w:rPr>
        <w:t xml:space="preserve">není </w:t>
      </w:r>
      <w:r w:rsidRPr="00171D71">
        <w:rPr>
          <w:rFonts w:ascii="Times New Roman" w:hAnsi="Times New Roman" w:cs="Times New Roman"/>
          <w:i/>
          <w:iCs/>
        </w:rPr>
        <w:t>Sankcionovanou osobou</w:t>
      </w:r>
      <w:r w:rsidRPr="00171D71">
        <w:rPr>
          <w:rFonts w:ascii="Times New Roman" w:hAnsi="Times New Roman" w:cs="Times New Roman"/>
        </w:rPr>
        <w:t>; nebo</w:t>
      </w:r>
    </w:p>
    <w:p w14:paraId="63211F4F" w14:textId="77777777" w:rsidR="00171D71" w:rsidRPr="00171D71" w:rsidRDefault="00171D71" w:rsidP="00171D71">
      <w:pPr>
        <w:pStyle w:val="Odstavecseseznamem"/>
        <w:keepNext/>
        <w:numPr>
          <w:ilvl w:val="0"/>
          <w:numId w:val="4"/>
        </w:numPr>
        <w:jc w:val="both"/>
        <w:rPr>
          <w:rFonts w:ascii="Times New Roman" w:hAnsi="Times New Roman" w:cs="Times New Roman"/>
        </w:rPr>
      </w:pPr>
      <w:r w:rsidRPr="00171D71">
        <w:rPr>
          <w:rFonts w:ascii="Times New Roman" w:hAnsi="Times New Roman" w:cs="Times New Roman"/>
        </w:rPr>
        <w:t xml:space="preserve">neporušuje jakékoli </w:t>
      </w:r>
      <w:r w:rsidRPr="00171D71">
        <w:rPr>
          <w:rFonts w:ascii="Times New Roman" w:hAnsi="Times New Roman" w:cs="Times New Roman"/>
          <w:i/>
          <w:iCs/>
        </w:rPr>
        <w:t>Sankce</w:t>
      </w:r>
      <w:r w:rsidRPr="00171D71">
        <w:rPr>
          <w:rFonts w:ascii="Times New Roman" w:hAnsi="Times New Roman" w:cs="Times New Roman"/>
        </w:rPr>
        <w:t>;</w:t>
      </w:r>
    </w:p>
    <w:p w14:paraId="08BAF557" w14:textId="77777777" w:rsidR="00171D71" w:rsidRPr="00171D71" w:rsidRDefault="00171D71" w:rsidP="00171D71">
      <w:pPr>
        <w:spacing w:after="0" w:line="240" w:lineRule="auto"/>
        <w:jc w:val="both"/>
        <w:rPr>
          <w:rFonts w:ascii="Times New Roman" w:hAnsi="Times New Roman" w:cs="Times New Roman"/>
        </w:rPr>
      </w:pPr>
      <w:r w:rsidRPr="00171D71">
        <w:rPr>
          <w:rFonts w:ascii="Times New Roman" w:hAnsi="Times New Roman" w:cs="Times New Roman"/>
        </w:rPr>
        <w:t>přičemž pro výše uvedené pojmy kurzívou platí následující definice:</w:t>
      </w:r>
    </w:p>
    <w:p w14:paraId="0762C3B4" w14:textId="77777777" w:rsidR="00171D71" w:rsidRPr="00171D71" w:rsidRDefault="00171D71" w:rsidP="00171D71">
      <w:pPr>
        <w:spacing w:after="0" w:line="240" w:lineRule="auto"/>
        <w:jc w:val="both"/>
        <w:rPr>
          <w:rFonts w:ascii="Times New Roman" w:hAnsi="Times New Roman" w:cs="Times New Roman"/>
        </w:rPr>
      </w:pPr>
    </w:p>
    <w:p w14:paraId="72FA9399" w14:textId="77777777" w:rsidR="00171D71" w:rsidRPr="00171D71" w:rsidRDefault="00171D71" w:rsidP="00171D71">
      <w:pPr>
        <w:keepNext/>
        <w:jc w:val="both"/>
        <w:rPr>
          <w:rFonts w:ascii="Times New Roman" w:hAnsi="Times New Roman" w:cs="Times New Roman"/>
        </w:rPr>
      </w:pPr>
      <w:r w:rsidRPr="00171D71">
        <w:rPr>
          <w:rFonts w:ascii="Times New Roman" w:hAnsi="Times New Roman" w:cs="Times New Roman"/>
        </w:rPr>
        <w:t>„</w:t>
      </w:r>
      <w:r w:rsidRPr="00171D71">
        <w:rPr>
          <w:rFonts w:ascii="Times New Roman" w:hAnsi="Times New Roman" w:cs="Times New Roman"/>
          <w:b/>
          <w:bCs/>
        </w:rPr>
        <w:t>Sankcionovaná osoba</w:t>
      </w:r>
      <w:r w:rsidRPr="00171D71">
        <w:rPr>
          <w:rFonts w:ascii="Times New Roman" w:hAnsi="Times New Roman" w:cs="Times New Roman"/>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11FD522A" w14:textId="77777777" w:rsidR="00171D71" w:rsidRPr="00171D71" w:rsidRDefault="00171D71" w:rsidP="00171D71">
      <w:pPr>
        <w:keepNext/>
        <w:jc w:val="both"/>
        <w:rPr>
          <w:rFonts w:ascii="Times New Roman" w:hAnsi="Times New Roman" w:cs="Times New Roman"/>
        </w:rPr>
      </w:pPr>
      <w:r w:rsidRPr="00171D71">
        <w:rPr>
          <w:rFonts w:ascii="Times New Roman" w:hAnsi="Times New Roman" w:cs="Times New Roman"/>
        </w:rPr>
        <w:t>„</w:t>
      </w:r>
      <w:r w:rsidRPr="00171D71">
        <w:rPr>
          <w:rFonts w:ascii="Times New Roman" w:hAnsi="Times New Roman" w:cs="Times New Roman"/>
          <w:b/>
          <w:bCs/>
        </w:rPr>
        <w:t>Sankce</w:t>
      </w:r>
      <w:r w:rsidRPr="00171D71">
        <w:rPr>
          <w:rFonts w:ascii="Times New Roman" w:hAnsi="Times New Roman" w:cs="Times New Roman"/>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3E45D938" w14:textId="77777777" w:rsidR="00171D71" w:rsidRPr="00171D71" w:rsidRDefault="00171D71" w:rsidP="00171D71">
      <w:pPr>
        <w:pStyle w:val="Odstavecseseznamem"/>
        <w:keepNext/>
        <w:numPr>
          <w:ilvl w:val="0"/>
          <w:numId w:val="5"/>
        </w:numPr>
        <w:jc w:val="both"/>
        <w:rPr>
          <w:rFonts w:ascii="Times New Roman" w:hAnsi="Times New Roman" w:cs="Times New Roman"/>
        </w:rPr>
      </w:pPr>
      <w:r w:rsidRPr="00171D71">
        <w:rPr>
          <w:rFonts w:ascii="Times New Roman" w:hAnsi="Times New Roman" w:cs="Times New Roman"/>
        </w:rPr>
        <w:t>Organizací spojených národů a jakoukoli agenturu nebo osobu, která je řádně jmenována, zmocněna nebo oprávněna Organizací spojených národů k přijímání, správě, provádění a/nebo uplatňování těchto opatření;</w:t>
      </w:r>
    </w:p>
    <w:p w14:paraId="18AB0985" w14:textId="77777777" w:rsidR="00171D71" w:rsidRPr="00171D71" w:rsidRDefault="00171D71" w:rsidP="00171D71">
      <w:pPr>
        <w:pStyle w:val="Odstavecseseznamem"/>
        <w:keepNext/>
        <w:numPr>
          <w:ilvl w:val="0"/>
          <w:numId w:val="5"/>
        </w:numPr>
        <w:jc w:val="both"/>
        <w:rPr>
          <w:rFonts w:ascii="Times New Roman" w:hAnsi="Times New Roman" w:cs="Times New Roman"/>
        </w:rPr>
      </w:pPr>
      <w:r w:rsidRPr="00171D71">
        <w:rPr>
          <w:rFonts w:ascii="Times New Roman" w:hAnsi="Times New Roman" w:cs="Times New Roman"/>
        </w:rPr>
        <w:t>Evropskou unií a jakoukoli agenturu nebo osobu, která je řádně jmenována, zmocněna nebo oprávněna Evropskou unií k přijímání, správě, provádění a/nebo uplatňování těchto opatření; a</w:t>
      </w:r>
    </w:p>
    <w:p w14:paraId="7498F46D" w14:textId="77777777" w:rsidR="00171D71" w:rsidRPr="00171D71" w:rsidRDefault="00171D71" w:rsidP="00171D71">
      <w:pPr>
        <w:pStyle w:val="Odstavecseseznamem"/>
        <w:keepNext/>
        <w:numPr>
          <w:ilvl w:val="0"/>
          <w:numId w:val="5"/>
        </w:numPr>
        <w:jc w:val="both"/>
        <w:rPr>
          <w:rFonts w:ascii="Times New Roman" w:hAnsi="Times New Roman" w:cs="Times New Roman"/>
        </w:rPr>
      </w:pPr>
      <w:r w:rsidRPr="00171D71">
        <w:rPr>
          <w:rFonts w:ascii="Times New Roman" w:hAnsi="Times New Roman" w:cs="Times New Roman"/>
        </w:rPr>
        <w:t>vláda Spojených států amerických a jakékoli její ministerstvo, divize, agentura nebo kancelář, včetně Úřadu pro kontrolu zahraničních aktiv (OFAC) ministerstva financí USA, ministerstva zahraničí USA a/nebo ministerstvo obchodu USA.</w:t>
      </w:r>
    </w:p>
    <w:p w14:paraId="2AE5F3E2" w14:textId="77777777" w:rsidR="00171D71" w:rsidRPr="00171D71" w:rsidRDefault="00171D71" w:rsidP="00171D71">
      <w:pPr>
        <w:spacing w:after="0" w:line="240" w:lineRule="auto"/>
        <w:jc w:val="both"/>
        <w:rPr>
          <w:rFonts w:ascii="Times New Roman" w:hAnsi="Times New Roman" w:cs="Times New Roman"/>
        </w:rPr>
      </w:pPr>
    </w:p>
    <w:p w14:paraId="52C9E95C" w14:textId="77777777" w:rsidR="00171D71" w:rsidRPr="00171D71" w:rsidRDefault="00171D71" w:rsidP="00171D71">
      <w:pPr>
        <w:spacing w:after="0" w:line="240" w:lineRule="auto"/>
        <w:jc w:val="center"/>
        <w:rPr>
          <w:rFonts w:ascii="Times New Roman" w:hAnsi="Times New Roman" w:cs="Times New Roman"/>
          <w:b/>
          <w:bCs/>
          <w:i/>
          <w:iCs/>
        </w:rPr>
      </w:pPr>
      <w:r w:rsidRPr="00171D71">
        <w:rPr>
          <w:rFonts w:ascii="Times New Roman" w:hAnsi="Times New Roman" w:cs="Times New Roman"/>
          <w:b/>
          <w:bCs/>
          <w:i/>
          <w:iCs/>
        </w:rPr>
        <w:t>Střet zájmů</w:t>
      </w:r>
    </w:p>
    <w:p w14:paraId="270A5A78" w14:textId="77777777" w:rsidR="00171D71" w:rsidRPr="00171D71" w:rsidRDefault="00171D71" w:rsidP="00171D71">
      <w:pPr>
        <w:spacing w:after="0" w:line="240" w:lineRule="auto"/>
        <w:jc w:val="both"/>
        <w:rPr>
          <w:rFonts w:ascii="Times New Roman" w:hAnsi="Times New Roman" w:cs="Times New Roman"/>
        </w:rPr>
      </w:pPr>
    </w:p>
    <w:p w14:paraId="533D8496" w14:textId="77777777" w:rsidR="00171D71" w:rsidRPr="00171D71" w:rsidRDefault="00171D71" w:rsidP="00171D71">
      <w:pPr>
        <w:keepNext/>
        <w:jc w:val="both"/>
        <w:rPr>
          <w:rFonts w:ascii="Times New Roman" w:hAnsi="Times New Roman" w:cs="Times New Roman"/>
        </w:rPr>
      </w:pPr>
      <w:r w:rsidRPr="00171D71">
        <w:rPr>
          <w:rFonts w:ascii="Times New Roman" w:hAnsi="Times New Roman" w:cs="Times New Roman"/>
        </w:rPr>
        <w:t>Dodavatel prohlašuje, že není obchodní společností, ve které veřejný funkcionář</w:t>
      </w:r>
      <w:r w:rsidRPr="00171D71">
        <w:rPr>
          <w:rFonts w:ascii="Times New Roman" w:hAnsi="Times New Roman" w:cs="Times New Roman"/>
          <w:vertAlign w:val="superscript"/>
        </w:rPr>
        <w:footnoteReference w:id="1"/>
      </w:r>
      <w:r w:rsidRPr="00171D71">
        <w:rPr>
          <w:rFonts w:ascii="Times New Roman" w:hAnsi="Times New Roman" w:cs="Times New Roman"/>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Dodavatel je si vědom, že v případě nepravdivosti uvedeného prohlášení bude ze zadávacího řízení vyloučen.</w:t>
      </w:r>
    </w:p>
    <w:p w14:paraId="7A1443E8" w14:textId="77777777" w:rsidR="00171D71" w:rsidRPr="00171D71" w:rsidRDefault="00171D71" w:rsidP="00171D71">
      <w:pPr>
        <w:spacing w:after="0" w:line="240" w:lineRule="auto"/>
        <w:jc w:val="both"/>
        <w:rPr>
          <w:rFonts w:ascii="Times New Roman" w:hAnsi="Times New Roman" w:cs="Times New Roman"/>
        </w:rPr>
      </w:pPr>
    </w:p>
    <w:p w14:paraId="767E1E2E" w14:textId="77777777" w:rsidR="00171D71" w:rsidRPr="00171D71" w:rsidRDefault="00171D71" w:rsidP="00171D71">
      <w:pPr>
        <w:spacing w:after="0" w:line="240" w:lineRule="auto"/>
        <w:jc w:val="both"/>
        <w:rPr>
          <w:rFonts w:ascii="Times New Roman" w:hAnsi="Times New Roman" w:cs="Times New Roman"/>
        </w:rPr>
      </w:pPr>
      <w:r w:rsidRPr="00171D71">
        <w:rPr>
          <w:rFonts w:ascii="Times New Roman" w:hAnsi="Times New Roman" w:cs="Times New Roman"/>
        </w:rPr>
        <w:t xml:space="preserve">V </w:t>
      </w:r>
      <w:r w:rsidRPr="00171D71">
        <w:rPr>
          <w:rFonts w:ascii="Times New Roman" w:hAnsi="Times New Roman" w:cs="Times New Roman"/>
          <w:highlight w:val="yellow"/>
        </w:rPr>
        <w:t>[k doplnění]</w:t>
      </w:r>
      <w:r w:rsidRPr="00171D71">
        <w:rPr>
          <w:rFonts w:ascii="Times New Roman" w:hAnsi="Times New Roman" w:cs="Times New Roman"/>
        </w:rPr>
        <w:t xml:space="preserve"> dne </w:t>
      </w:r>
      <w:r w:rsidRPr="00171D71">
        <w:rPr>
          <w:rFonts w:ascii="Times New Roman" w:hAnsi="Times New Roman" w:cs="Times New Roman"/>
          <w:highlight w:val="yellow"/>
        </w:rPr>
        <w:t>[k doplnění]</w:t>
      </w:r>
    </w:p>
    <w:p w14:paraId="5F58B123" w14:textId="77777777" w:rsidR="00171D71" w:rsidRPr="00171D71" w:rsidRDefault="00171D71" w:rsidP="00171D71">
      <w:pPr>
        <w:spacing w:after="0" w:line="240" w:lineRule="auto"/>
        <w:jc w:val="both"/>
        <w:rPr>
          <w:rFonts w:ascii="Times New Roman" w:hAnsi="Times New Roman" w:cs="Times New Roman"/>
        </w:rPr>
      </w:pPr>
    </w:p>
    <w:p w14:paraId="6890713E" w14:textId="77777777" w:rsidR="00171D71" w:rsidRPr="00171D71" w:rsidRDefault="00171D71" w:rsidP="00171D71">
      <w:pPr>
        <w:spacing w:after="0" w:line="240" w:lineRule="auto"/>
        <w:jc w:val="both"/>
        <w:rPr>
          <w:rFonts w:ascii="Times New Roman" w:hAnsi="Times New Roman" w:cs="Times New Roman"/>
        </w:rPr>
      </w:pPr>
    </w:p>
    <w:p w14:paraId="08553616" w14:textId="77777777" w:rsidR="00171D71" w:rsidRPr="00171D71" w:rsidRDefault="00171D71" w:rsidP="00171D71">
      <w:pPr>
        <w:spacing w:after="0" w:line="240" w:lineRule="auto"/>
        <w:jc w:val="both"/>
        <w:rPr>
          <w:rFonts w:ascii="Times New Roman" w:hAnsi="Times New Roman" w:cs="Times New Roman"/>
        </w:rPr>
      </w:pPr>
    </w:p>
    <w:p w14:paraId="4808A64F" w14:textId="77777777" w:rsidR="00171D71" w:rsidRPr="00171D71" w:rsidRDefault="00171D71" w:rsidP="00171D71">
      <w:pPr>
        <w:spacing w:after="0" w:line="240" w:lineRule="auto"/>
        <w:ind w:left="4248" w:firstLine="708"/>
        <w:jc w:val="both"/>
        <w:rPr>
          <w:rFonts w:ascii="Times New Roman" w:hAnsi="Times New Roman" w:cs="Times New Roman"/>
        </w:rPr>
      </w:pPr>
      <w:r w:rsidRPr="00171D71">
        <w:rPr>
          <w:rFonts w:ascii="Times New Roman" w:hAnsi="Times New Roman" w:cs="Times New Roman"/>
        </w:rPr>
        <w:t>………………………………………………</w:t>
      </w:r>
    </w:p>
    <w:p w14:paraId="0EE10702" w14:textId="77777777" w:rsidR="00171D71" w:rsidRPr="00171D71" w:rsidRDefault="00171D71" w:rsidP="00171D71">
      <w:pPr>
        <w:spacing w:after="0" w:line="240" w:lineRule="auto"/>
        <w:ind w:left="4248" w:firstLine="708"/>
        <w:jc w:val="both"/>
        <w:rPr>
          <w:rFonts w:ascii="Times New Roman" w:hAnsi="Times New Roman" w:cs="Times New Roman"/>
          <w:highlight w:val="yellow"/>
        </w:rPr>
      </w:pPr>
      <w:r w:rsidRPr="00171D71">
        <w:rPr>
          <w:rFonts w:ascii="Times New Roman" w:hAnsi="Times New Roman" w:cs="Times New Roman"/>
          <w:highlight w:val="yellow"/>
        </w:rPr>
        <w:t>Jméno, příjmení, funkce a podpis osoby</w:t>
      </w:r>
    </w:p>
    <w:p w14:paraId="69D69730" w14:textId="77777777" w:rsidR="00171D71" w:rsidRPr="00171D71" w:rsidRDefault="00171D71" w:rsidP="00171D71">
      <w:pPr>
        <w:spacing w:after="0" w:line="240" w:lineRule="auto"/>
        <w:ind w:left="4248" w:firstLine="708"/>
        <w:jc w:val="both"/>
        <w:rPr>
          <w:rFonts w:ascii="Times New Roman" w:hAnsi="Times New Roman" w:cs="Times New Roman"/>
        </w:rPr>
      </w:pPr>
      <w:r w:rsidRPr="00171D71">
        <w:rPr>
          <w:rFonts w:ascii="Times New Roman" w:hAnsi="Times New Roman" w:cs="Times New Roman"/>
          <w:highlight w:val="yellow"/>
        </w:rPr>
        <w:t>oprávněné jednat za Dodavatele</w:t>
      </w:r>
    </w:p>
    <w:sectPr w:rsidR="00171D71" w:rsidRPr="00171D71" w:rsidSect="00171D71">
      <w:headerReference w:type="default" r:id="rId8"/>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D77C7" w14:textId="77777777" w:rsidR="00B433C1" w:rsidRDefault="00B433C1" w:rsidP="00B672DB">
      <w:pPr>
        <w:spacing w:after="0" w:line="240" w:lineRule="auto"/>
      </w:pPr>
      <w:r>
        <w:separator/>
      </w:r>
    </w:p>
  </w:endnote>
  <w:endnote w:type="continuationSeparator" w:id="0">
    <w:p w14:paraId="6A03B5ED" w14:textId="77777777" w:rsidR="00B433C1" w:rsidRDefault="00B433C1"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8DA4B" w14:textId="77777777" w:rsidR="00B433C1" w:rsidRDefault="00B433C1" w:rsidP="00B672DB">
      <w:pPr>
        <w:spacing w:after="0" w:line="240" w:lineRule="auto"/>
      </w:pPr>
      <w:r>
        <w:separator/>
      </w:r>
    </w:p>
  </w:footnote>
  <w:footnote w:type="continuationSeparator" w:id="0">
    <w:p w14:paraId="018837E1" w14:textId="77777777" w:rsidR="00B433C1" w:rsidRDefault="00B433C1" w:rsidP="00B672DB">
      <w:pPr>
        <w:spacing w:after="0" w:line="240" w:lineRule="auto"/>
      </w:pPr>
      <w:r>
        <w:continuationSeparator/>
      </w:r>
    </w:p>
  </w:footnote>
  <w:footnote w:id="1">
    <w:p w14:paraId="687306DE" w14:textId="77777777" w:rsidR="00171D71" w:rsidRDefault="00171D71" w:rsidP="00171D71">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7FA21" w14:textId="0DD48CC9" w:rsidR="005E23B9" w:rsidRPr="002D0F33" w:rsidRDefault="00F55699" w:rsidP="006C0A85">
    <w:pPr>
      <w:pStyle w:val="Zhlav"/>
      <w:rPr>
        <w:rFonts w:ascii="Times New Roman" w:hAnsi="Times New Roman" w:cs="Times New Roman"/>
        <w:sz w:val="28"/>
      </w:rPr>
    </w:pPr>
    <w:r w:rsidRPr="002D0F33">
      <w:rPr>
        <w:rFonts w:ascii="Times New Roman" w:hAnsi="Times New Roman" w:cs="Times New Roman"/>
        <w:i/>
        <w:iCs/>
        <w:szCs w:val="18"/>
      </w:rPr>
      <w:t xml:space="preserve">Příloha č. </w:t>
    </w:r>
    <w:r w:rsidR="006F318A" w:rsidRPr="002D0F33">
      <w:rPr>
        <w:rFonts w:ascii="Times New Roman" w:hAnsi="Times New Roman" w:cs="Times New Roman"/>
        <w:i/>
        <w:iCs/>
        <w:szCs w:val="18"/>
      </w:rPr>
      <w:t>5</w:t>
    </w:r>
    <w:r w:rsidRPr="002D0F33">
      <w:rPr>
        <w:rFonts w:ascii="Times New Roman" w:hAnsi="Times New Roman" w:cs="Times New Roman"/>
        <w:sz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2D7A66D6"/>
    <w:multiLevelType w:val="hybridMultilevel"/>
    <w:tmpl w:val="D5F81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2537C78"/>
    <w:multiLevelType w:val="hybridMultilevel"/>
    <w:tmpl w:val="A6D838D2"/>
    <w:lvl w:ilvl="0" w:tplc="02D05EC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68"/>
    <w:rsid w:val="0003216C"/>
    <w:rsid w:val="00044AEE"/>
    <w:rsid w:val="00093748"/>
    <w:rsid w:val="000C1C5C"/>
    <w:rsid w:val="000D0268"/>
    <w:rsid w:val="00135239"/>
    <w:rsid w:val="00160415"/>
    <w:rsid w:val="00171D71"/>
    <w:rsid w:val="00230BA6"/>
    <w:rsid w:val="00275764"/>
    <w:rsid w:val="002D0F33"/>
    <w:rsid w:val="00315DF3"/>
    <w:rsid w:val="003567C3"/>
    <w:rsid w:val="00485CF9"/>
    <w:rsid w:val="004C30C7"/>
    <w:rsid w:val="00513D6D"/>
    <w:rsid w:val="00515D6E"/>
    <w:rsid w:val="005A596C"/>
    <w:rsid w:val="005E23B9"/>
    <w:rsid w:val="00617AD5"/>
    <w:rsid w:val="006A7187"/>
    <w:rsid w:val="006B2D75"/>
    <w:rsid w:val="006C0A85"/>
    <w:rsid w:val="006C1CB6"/>
    <w:rsid w:val="006C47B0"/>
    <w:rsid w:val="006C711C"/>
    <w:rsid w:val="006F318A"/>
    <w:rsid w:val="00716CDC"/>
    <w:rsid w:val="0074135D"/>
    <w:rsid w:val="00746991"/>
    <w:rsid w:val="008401D4"/>
    <w:rsid w:val="00841BFE"/>
    <w:rsid w:val="00854256"/>
    <w:rsid w:val="008920E7"/>
    <w:rsid w:val="008A74D0"/>
    <w:rsid w:val="008A766D"/>
    <w:rsid w:val="009369EB"/>
    <w:rsid w:val="00936F92"/>
    <w:rsid w:val="009B6021"/>
    <w:rsid w:val="009D0C6B"/>
    <w:rsid w:val="009D7A23"/>
    <w:rsid w:val="00A161F4"/>
    <w:rsid w:val="00A440E7"/>
    <w:rsid w:val="00A5712A"/>
    <w:rsid w:val="00AB3FBE"/>
    <w:rsid w:val="00AC1601"/>
    <w:rsid w:val="00B433C1"/>
    <w:rsid w:val="00B672DB"/>
    <w:rsid w:val="00B70CD2"/>
    <w:rsid w:val="00B769E2"/>
    <w:rsid w:val="00B92513"/>
    <w:rsid w:val="00C0284D"/>
    <w:rsid w:val="00C802B9"/>
    <w:rsid w:val="00CA1474"/>
    <w:rsid w:val="00CD0665"/>
    <w:rsid w:val="00D212DF"/>
    <w:rsid w:val="00D6175D"/>
    <w:rsid w:val="00DA7B1B"/>
    <w:rsid w:val="00DF1508"/>
    <w:rsid w:val="00E53F00"/>
    <w:rsid w:val="00E913F2"/>
    <w:rsid w:val="00EB17D3"/>
    <w:rsid w:val="00F55699"/>
    <w:rsid w:val="00F57922"/>
    <w:rsid w:val="00F7547F"/>
    <w:rsid w:val="00FA59A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4449E-C8F4-4183-999C-751AB494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2207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2023-02-09T10:35:00Z</dcterms:created>
  <dcterms:modified xsi:type="dcterms:W3CDTF">2025-05-15T12:49:00Z</dcterms:modified>
</cp:coreProperties>
</file>