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20" w:rsidRDefault="002F4620" w:rsidP="002F4620">
      <w:pPr>
        <w:pStyle w:val="Normln2"/>
        <w:spacing w:line="288" w:lineRule="auto"/>
        <w:ind w:left="2880" w:hanging="2880"/>
        <w:rPr>
          <w:b/>
          <w:color w:val="000000"/>
        </w:rPr>
      </w:pPr>
    </w:p>
    <w:p w:rsidR="002F4620" w:rsidRDefault="002F4620" w:rsidP="002F4620">
      <w:pPr>
        <w:pStyle w:val="Normln2"/>
        <w:spacing w:line="288" w:lineRule="auto"/>
        <w:ind w:left="2880" w:hanging="2880"/>
        <w:rPr>
          <w:b/>
          <w:color w:val="000000"/>
        </w:rPr>
      </w:pPr>
    </w:p>
    <w:p w:rsidR="002F4620" w:rsidRDefault="002F4620" w:rsidP="002F4620">
      <w:pPr>
        <w:pStyle w:val="Normln0"/>
        <w:spacing w:line="360" w:lineRule="auto"/>
        <w:rPr>
          <w:color w:val="000000"/>
        </w:rPr>
      </w:pPr>
      <w:r>
        <w:rPr>
          <w:b/>
          <w:color w:val="000000"/>
        </w:rPr>
        <w:t>investor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Hornické muzeum Příbram, </w:t>
      </w:r>
      <w:proofErr w:type="spellStart"/>
      <w:proofErr w:type="gramStart"/>
      <w:r>
        <w:rPr>
          <w:color w:val="000000"/>
        </w:rPr>
        <w:t>p.o</w:t>
      </w:r>
      <w:proofErr w:type="spellEnd"/>
      <w:r>
        <w:rPr>
          <w:color w:val="000000"/>
        </w:rPr>
        <w:t>.</w:t>
      </w:r>
      <w:proofErr w:type="gramEnd"/>
    </w:p>
    <w:p w:rsidR="002F4620" w:rsidRDefault="002F4620" w:rsidP="002F4620">
      <w:pPr>
        <w:pStyle w:val="Normln0"/>
        <w:spacing w:line="360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Nám. H. Kličky 293</w:t>
      </w:r>
    </w:p>
    <w:p w:rsidR="002F4620" w:rsidRDefault="002F4620" w:rsidP="002F4620">
      <w:pPr>
        <w:pStyle w:val="Normln0"/>
        <w:spacing w:line="360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Příbram VI 261 01 </w:t>
      </w:r>
    </w:p>
    <w:p w:rsidR="002F4620" w:rsidRDefault="002F4620" w:rsidP="002F4620">
      <w:pPr>
        <w:pStyle w:val="Normln2"/>
        <w:spacing w:line="288" w:lineRule="auto"/>
        <w:ind w:left="2880" w:hanging="2880"/>
        <w:rPr>
          <w:color w:val="000000"/>
        </w:rPr>
      </w:pPr>
    </w:p>
    <w:p w:rsidR="002F4620" w:rsidRDefault="002F4620" w:rsidP="002F4620">
      <w:pPr>
        <w:pStyle w:val="Normln2"/>
        <w:spacing w:line="288" w:lineRule="auto"/>
        <w:ind w:left="2880" w:hanging="2880"/>
        <w:rPr>
          <w:color w:val="000000"/>
        </w:rPr>
      </w:pPr>
      <w:r>
        <w:rPr>
          <w:b/>
          <w:color w:val="000000"/>
        </w:rPr>
        <w:tab/>
      </w:r>
    </w:p>
    <w:p w:rsidR="002F4620" w:rsidRDefault="002F4620" w:rsidP="002F4620">
      <w:pPr>
        <w:pStyle w:val="Normln2"/>
        <w:spacing w:line="288" w:lineRule="auto"/>
        <w:rPr>
          <w:color w:val="000000"/>
        </w:rPr>
      </w:pPr>
    </w:p>
    <w:p w:rsidR="002F4620" w:rsidRDefault="002F4620" w:rsidP="002F4620">
      <w:pPr>
        <w:pStyle w:val="Normln0"/>
        <w:rPr>
          <w:color w:val="000000"/>
        </w:rPr>
      </w:pPr>
    </w:p>
    <w:p w:rsidR="002F4620" w:rsidRDefault="002F4620" w:rsidP="002F4620">
      <w:pPr>
        <w:pStyle w:val="Normln0"/>
        <w:spacing w:line="252" w:lineRule="auto"/>
        <w:rPr>
          <w:color w:val="000000"/>
        </w:rPr>
      </w:pPr>
    </w:p>
    <w:p w:rsidR="002F4620" w:rsidRDefault="002F4620" w:rsidP="002F4620">
      <w:pPr>
        <w:pStyle w:val="Normln2"/>
        <w:spacing w:line="288" w:lineRule="auto"/>
        <w:ind w:left="2880" w:hanging="2880"/>
        <w:rPr>
          <w:b/>
          <w:color w:val="000000"/>
        </w:rPr>
      </w:pPr>
      <w:r>
        <w:rPr>
          <w:b/>
          <w:color w:val="000000"/>
        </w:rPr>
        <w:t>název</w:t>
      </w:r>
      <w:r>
        <w:rPr>
          <w:color w:val="000000"/>
        </w:rPr>
        <w:tab/>
      </w:r>
      <w:r>
        <w:rPr>
          <w:b/>
          <w:color w:val="000000"/>
          <w:sz w:val="22"/>
          <w:szCs w:val="22"/>
          <w:u w:val="single"/>
        </w:rPr>
        <w:t xml:space="preserve">Hornické muzeum – šachta č. 11A </w:t>
      </w:r>
      <w:proofErr w:type="spellStart"/>
      <w:r>
        <w:rPr>
          <w:b/>
          <w:color w:val="000000"/>
          <w:sz w:val="22"/>
          <w:szCs w:val="22"/>
          <w:u w:val="single"/>
        </w:rPr>
        <w:t>Bytíz</w:t>
      </w:r>
      <w:proofErr w:type="spellEnd"/>
    </w:p>
    <w:p w:rsidR="002F4620" w:rsidRDefault="002F4620" w:rsidP="002F4620">
      <w:pPr>
        <w:pStyle w:val="Normln0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2F4620" w:rsidRDefault="002F4620" w:rsidP="002F4620">
      <w:pPr>
        <w:pStyle w:val="Normln0"/>
        <w:rPr>
          <w:b/>
          <w:color w:val="000000"/>
          <w:sz w:val="22"/>
          <w:szCs w:val="22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  <w:sz w:val="22"/>
          <w:szCs w:val="22"/>
        </w:rPr>
        <w:t>SO 01 Strojovna</w:t>
      </w:r>
    </w:p>
    <w:p w:rsidR="002F4620" w:rsidRDefault="002F4620" w:rsidP="002F4620">
      <w:pPr>
        <w:pStyle w:val="Normln0"/>
        <w:rPr>
          <w:b/>
          <w:color w:val="000000"/>
          <w:sz w:val="22"/>
          <w:szCs w:val="22"/>
        </w:rPr>
      </w:pPr>
    </w:p>
    <w:p w:rsidR="002F4620" w:rsidRDefault="002F4620" w:rsidP="002F4620">
      <w:pPr>
        <w:pStyle w:val="Normln0"/>
        <w:rPr>
          <w:b/>
          <w:color w:val="000000"/>
          <w:sz w:val="22"/>
          <w:szCs w:val="22"/>
        </w:rPr>
      </w:pPr>
    </w:p>
    <w:p w:rsidR="002F4620" w:rsidRDefault="002F4620" w:rsidP="002F4620">
      <w:pPr>
        <w:pStyle w:val="Normln0"/>
        <w:rPr>
          <w:b/>
          <w:color w:val="000000"/>
        </w:rPr>
      </w:pPr>
    </w:p>
    <w:p w:rsidR="002F4620" w:rsidRDefault="002F4620" w:rsidP="002F4620">
      <w:pPr>
        <w:pStyle w:val="Normln2"/>
        <w:spacing w:line="288" w:lineRule="auto"/>
        <w:ind w:left="2880" w:hanging="2880"/>
        <w:rPr>
          <w:color w:val="000000"/>
        </w:rPr>
      </w:pPr>
      <w:r>
        <w:rPr>
          <w:b/>
          <w:color w:val="000000"/>
        </w:rPr>
        <w:t>Místo</w:t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kat. </w:t>
      </w:r>
      <w:proofErr w:type="gramStart"/>
      <w:r>
        <w:rPr>
          <w:color w:val="000000"/>
        </w:rPr>
        <w:t>území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Bytíz</w:t>
      </w:r>
      <w:proofErr w:type="spellEnd"/>
      <w:r>
        <w:rPr>
          <w:color w:val="000000"/>
        </w:rPr>
        <w:t xml:space="preserve"> </w:t>
      </w:r>
    </w:p>
    <w:p w:rsidR="002F4620" w:rsidRDefault="002F4620" w:rsidP="002F4620">
      <w:pPr>
        <w:pStyle w:val="Normln2"/>
        <w:spacing w:line="288" w:lineRule="auto"/>
        <w:ind w:left="2880"/>
        <w:rPr>
          <w:b/>
        </w:rPr>
      </w:pPr>
      <w:r>
        <w:rPr>
          <w:color w:val="000000"/>
        </w:rPr>
        <w:t xml:space="preserve">parcel. </w:t>
      </w:r>
      <w:proofErr w:type="gramStart"/>
      <w:r>
        <w:rPr>
          <w:color w:val="000000"/>
        </w:rPr>
        <w:t>č.</w:t>
      </w:r>
      <w:proofErr w:type="gramEnd"/>
      <w:r>
        <w:rPr>
          <w:color w:val="000000"/>
        </w:rPr>
        <w:t>:   60/58</w:t>
      </w:r>
    </w:p>
    <w:p w:rsidR="002F4620" w:rsidRDefault="002F4620" w:rsidP="002F4620">
      <w:pPr>
        <w:pStyle w:val="Normln2"/>
        <w:spacing w:line="288" w:lineRule="auto"/>
        <w:rPr>
          <w:color w:val="00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F4620" w:rsidRDefault="002F4620" w:rsidP="002F4620">
      <w:pPr>
        <w:pStyle w:val="Normln2"/>
        <w:spacing w:line="288" w:lineRule="auto"/>
        <w:rPr>
          <w:color w:val="FF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2F4620" w:rsidRDefault="002F4620" w:rsidP="002F4620">
      <w:pPr>
        <w:pStyle w:val="Normln2"/>
        <w:spacing w:line="288" w:lineRule="auto"/>
        <w:rPr>
          <w:color w:val="FF0000"/>
        </w:rPr>
      </w:pPr>
    </w:p>
    <w:p w:rsidR="002F4620" w:rsidRDefault="002F4620" w:rsidP="002F4620">
      <w:pPr>
        <w:pStyle w:val="Normln0"/>
        <w:jc w:val="both"/>
        <w:rPr>
          <w:color w:val="000000"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</w:rPr>
      </w:pPr>
      <w:r>
        <w:rPr>
          <w:b/>
          <w:color w:val="000000"/>
        </w:rPr>
        <w:t>stupeň projektu</w:t>
      </w:r>
      <w:r>
        <w:rPr>
          <w:b/>
          <w:color w:val="000000"/>
        </w:rPr>
        <w:tab/>
        <w:t xml:space="preserve">          </w:t>
      </w:r>
      <w:r>
        <w:rPr>
          <w:b/>
        </w:rPr>
        <w:t>Společné územní řízení a stavební povolení</w:t>
      </w:r>
    </w:p>
    <w:p w:rsidR="002F4620" w:rsidRDefault="002F4620" w:rsidP="002F4620">
      <w:pPr>
        <w:pStyle w:val="Normln0"/>
        <w:spacing w:line="252" w:lineRule="auto"/>
        <w:jc w:val="both"/>
        <w:rPr>
          <w:b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  <w:sz w:val="36"/>
          <w:szCs w:val="36"/>
        </w:rPr>
        <w:t>D.1.1</w:t>
      </w:r>
      <w:proofErr w:type="gramEnd"/>
      <w:r>
        <w:rPr>
          <w:b/>
          <w:sz w:val="36"/>
          <w:szCs w:val="36"/>
        </w:rPr>
        <w:t xml:space="preserve"> Technická zpráva</w:t>
      </w:r>
    </w:p>
    <w:p w:rsidR="002F4620" w:rsidRDefault="002F4620" w:rsidP="002F4620">
      <w:pPr>
        <w:pStyle w:val="Normln1"/>
        <w:spacing w:line="360" w:lineRule="auto"/>
        <w:rPr>
          <w:rFonts w:cs="Arial"/>
          <w:b/>
          <w:sz w:val="16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:rsidR="002F4620" w:rsidRDefault="002F4620" w:rsidP="002F4620">
      <w:pPr>
        <w:pStyle w:val="Normln0"/>
        <w:spacing w:line="360" w:lineRule="auto"/>
        <w:jc w:val="both"/>
        <w:rPr>
          <w:b/>
          <w:sz w:val="16"/>
        </w:rPr>
      </w:pPr>
    </w:p>
    <w:p w:rsidR="002F4620" w:rsidRDefault="002F4620" w:rsidP="002F4620">
      <w:pPr>
        <w:pStyle w:val="Normln0"/>
        <w:spacing w:line="360" w:lineRule="auto"/>
        <w:jc w:val="both"/>
        <w:rPr>
          <w:b/>
          <w:sz w:val="16"/>
        </w:rPr>
      </w:pPr>
    </w:p>
    <w:p w:rsidR="002F4620" w:rsidRDefault="002F4620" w:rsidP="002F4620">
      <w:pPr>
        <w:pStyle w:val="Normln1"/>
        <w:spacing w:line="360" w:lineRule="auto"/>
        <w:rPr>
          <w:rFonts w:ascii="Arial" w:hAnsi="Arial" w:cs="Arial"/>
          <w:sz w:val="16"/>
        </w:rPr>
      </w:pPr>
    </w:p>
    <w:p w:rsidR="002F4620" w:rsidRDefault="002F4620" w:rsidP="002F4620">
      <w:pPr>
        <w:pStyle w:val="Normln1"/>
        <w:spacing w:line="360" w:lineRule="auto"/>
        <w:rPr>
          <w:rFonts w:ascii="Arial" w:hAnsi="Arial" w:cs="Arial"/>
          <w:sz w:val="16"/>
        </w:rPr>
      </w:pPr>
    </w:p>
    <w:p w:rsidR="002F4620" w:rsidRDefault="002F4620" w:rsidP="002F4620">
      <w:pPr>
        <w:pStyle w:val="Normln1"/>
        <w:spacing w:line="360" w:lineRule="auto"/>
        <w:rPr>
          <w:rFonts w:ascii="Arial" w:hAnsi="Arial" w:cs="Arial"/>
        </w:rPr>
      </w:pPr>
    </w:p>
    <w:p w:rsidR="002F4620" w:rsidRDefault="002F4620" w:rsidP="002F4620">
      <w:pPr>
        <w:pStyle w:val="Normln1"/>
        <w:spacing w:line="360" w:lineRule="auto"/>
        <w:rPr>
          <w:rFonts w:ascii="Arial" w:hAnsi="Arial" w:cs="Arial"/>
        </w:rPr>
      </w:pPr>
    </w:p>
    <w:p w:rsidR="002F4620" w:rsidRDefault="002F4620" w:rsidP="002F4620">
      <w:pPr>
        <w:pStyle w:val="Normln1"/>
        <w:spacing w:line="360" w:lineRule="auto"/>
        <w:rPr>
          <w:rFonts w:ascii="Arial" w:hAnsi="Arial" w:cs="Arial"/>
        </w:rPr>
      </w:pPr>
    </w:p>
    <w:p w:rsidR="002F4620" w:rsidRDefault="002F4620" w:rsidP="002F4620">
      <w:pPr>
        <w:pStyle w:val="Normln1"/>
        <w:spacing w:line="360" w:lineRule="auto"/>
        <w:rPr>
          <w:rFonts w:ascii="Arial" w:hAnsi="Arial" w:cs="Arial"/>
        </w:rPr>
      </w:pPr>
    </w:p>
    <w:tbl>
      <w:tblPr>
        <w:tblW w:w="0" w:type="auto"/>
        <w:tblInd w:w="112" w:type="dxa"/>
        <w:tblLayout w:type="fixed"/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2752"/>
        <w:gridCol w:w="4000"/>
        <w:gridCol w:w="1120"/>
        <w:gridCol w:w="1280"/>
      </w:tblGrid>
      <w:tr w:rsidR="002F4620" w:rsidTr="006C1DF9">
        <w:trPr>
          <w:trHeight w:val="457"/>
        </w:trPr>
        <w:tc>
          <w:tcPr>
            <w:tcW w:w="2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4620" w:rsidRDefault="002F4620" w:rsidP="006C1DF9">
            <w:pPr>
              <w:pStyle w:val="Normln0"/>
              <w:snapToGrid w:val="0"/>
              <w:spacing w:line="360" w:lineRule="auto"/>
              <w:rPr>
                <w:color w:val="000000"/>
                <w:sz w:val="16"/>
              </w:rPr>
            </w:pPr>
          </w:p>
          <w:p w:rsidR="002F4620" w:rsidRDefault="002F4620" w:rsidP="006C1DF9">
            <w:pPr>
              <w:pStyle w:val="Normln0"/>
              <w:spacing w:line="360" w:lineRule="auto"/>
            </w:pPr>
            <w:proofErr w:type="gramStart"/>
            <w:r>
              <w:rPr>
                <w:color w:val="000000"/>
                <w:sz w:val="16"/>
              </w:rPr>
              <w:t>VYPRACOVAL :</w:t>
            </w:r>
            <w:proofErr w:type="gramEnd"/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4620" w:rsidRDefault="002F4620" w:rsidP="006C1DF9">
            <w:pPr>
              <w:pStyle w:val="Normln0"/>
              <w:snapToGrid w:val="0"/>
              <w:spacing w:line="360" w:lineRule="auto"/>
              <w:rPr>
                <w:color w:val="000000"/>
                <w:sz w:val="16"/>
              </w:rPr>
            </w:pPr>
          </w:p>
          <w:p w:rsidR="002F4620" w:rsidRDefault="002F4620" w:rsidP="006C1DF9">
            <w:pPr>
              <w:pStyle w:val="Normln0"/>
              <w:spacing w:line="360" w:lineRule="auto"/>
            </w:pPr>
            <w:r>
              <w:rPr>
                <w:color w:val="000000"/>
              </w:rPr>
              <w:t>Ing. Ondřej Baloun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4620" w:rsidRDefault="002F4620" w:rsidP="006C1DF9">
            <w:pPr>
              <w:pStyle w:val="Normln0"/>
              <w:snapToGrid w:val="0"/>
              <w:spacing w:line="360" w:lineRule="auto"/>
              <w:rPr>
                <w:color w:val="000000"/>
                <w:sz w:val="16"/>
              </w:rPr>
            </w:pPr>
          </w:p>
          <w:p w:rsidR="002F4620" w:rsidRDefault="002F4620" w:rsidP="006C1DF9">
            <w:pPr>
              <w:pStyle w:val="Normln0"/>
              <w:spacing w:line="360" w:lineRule="auto"/>
            </w:pPr>
            <w:proofErr w:type="gramStart"/>
            <w:r>
              <w:rPr>
                <w:color w:val="000000"/>
                <w:sz w:val="16"/>
              </w:rPr>
              <w:t>ZAK.ČÍSLO</w:t>
            </w:r>
            <w:proofErr w:type="gramEnd"/>
            <w:r>
              <w:rPr>
                <w:color w:val="000000"/>
                <w:sz w:val="16"/>
              </w:rPr>
              <w:t xml:space="preserve">:        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4620" w:rsidRDefault="002F4620" w:rsidP="006C1DF9">
            <w:pPr>
              <w:pStyle w:val="Normln0"/>
              <w:spacing w:line="360" w:lineRule="auto"/>
              <w:jc w:val="center"/>
            </w:pPr>
            <w:r>
              <w:rPr>
                <w:b/>
                <w:color w:val="000000"/>
              </w:rPr>
              <w:t>2018-32</w:t>
            </w:r>
          </w:p>
        </w:tc>
      </w:tr>
      <w:tr w:rsidR="002F4620" w:rsidTr="006C1DF9">
        <w:trPr>
          <w:trHeight w:val="457"/>
        </w:trPr>
        <w:tc>
          <w:tcPr>
            <w:tcW w:w="27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4620" w:rsidRDefault="002F4620" w:rsidP="006C1DF9">
            <w:pPr>
              <w:pStyle w:val="Normln0"/>
              <w:snapToGrid w:val="0"/>
              <w:spacing w:line="360" w:lineRule="auto"/>
              <w:rPr>
                <w:b/>
                <w:color w:val="000000"/>
                <w:sz w:val="16"/>
                <w:lang w:eastAsia="cs-CZ"/>
              </w:rPr>
            </w:pPr>
          </w:p>
          <w:p w:rsidR="002F4620" w:rsidRDefault="002F4620" w:rsidP="006C1DF9">
            <w:pPr>
              <w:pStyle w:val="Normln0"/>
              <w:spacing w:line="360" w:lineRule="auto"/>
            </w:pPr>
            <w:r>
              <w:rPr>
                <w:color w:val="000000"/>
                <w:sz w:val="16"/>
              </w:rPr>
              <w:t xml:space="preserve">HLAVNÍ INŽENÝR </w:t>
            </w:r>
            <w:proofErr w:type="gramStart"/>
            <w:r>
              <w:rPr>
                <w:color w:val="000000"/>
                <w:sz w:val="16"/>
              </w:rPr>
              <w:t>PROJEKTU :</w:t>
            </w:r>
            <w:proofErr w:type="gramEnd"/>
            <w:r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40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4620" w:rsidRDefault="002F4620" w:rsidP="006C1DF9">
            <w:pPr>
              <w:pStyle w:val="Normln0"/>
              <w:snapToGrid w:val="0"/>
              <w:spacing w:line="360" w:lineRule="auto"/>
              <w:rPr>
                <w:color w:val="000000"/>
                <w:sz w:val="16"/>
              </w:rPr>
            </w:pPr>
          </w:p>
          <w:p w:rsidR="002F4620" w:rsidRDefault="002F4620" w:rsidP="006C1DF9">
            <w:pPr>
              <w:pStyle w:val="Normln0"/>
              <w:spacing w:line="360" w:lineRule="auto"/>
            </w:pPr>
            <w:r>
              <w:rPr>
                <w:color w:val="000000"/>
              </w:rPr>
              <w:t>Ing. Jana Součková</w:t>
            </w:r>
          </w:p>
        </w:tc>
        <w:tc>
          <w:tcPr>
            <w:tcW w:w="11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4620" w:rsidRDefault="002F4620" w:rsidP="006C1DF9">
            <w:pPr>
              <w:pStyle w:val="Normln0"/>
              <w:snapToGrid w:val="0"/>
              <w:spacing w:line="360" w:lineRule="auto"/>
              <w:rPr>
                <w:color w:val="000000"/>
                <w:sz w:val="16"/>
              </w:rPr>
            </w:pPr>
          </w:p>
          <w:p w:rsidR="002F4620" w:rsidRDefault="002F4620" w:rsidP="006C1DF9">
            <w:pPr>
              <w:pStyle w:val="Normln0"/>
              <w:spacing w:line="360" w:lineRule="auto"/>
            </w:pPr>
            <w:proofErr w:type="gramStart"/>
            <w:r>
              <w:rPr>
                <w:color w:val="000000"/>
                <w:sz w:val="16"/>
              </w:rPr>
              <w:t>DATUM :</w:t>
            </w:r>
            <w:proofErr w:type="gramEnd"/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4620" w:rsidRDefault="002F4620" w:rsidP="006C1DF9">
            <w:pPr>
              <w:pStyle w:val="Normln0"/>
              <w:snapToGrid w:val="0"/>
              <w:spacing w:line="360" w:lineRule="auto"/>
              <w:jc w:val="center"/>
              <w:rPr>
                <w:color w:val="000000"/>
                <w:sz w:val="16"/>
              </w:rPr>
            </w:pPr>
          </w:p>
          <w:p w:rsidR="002F4620" w:rsidRDefault="002F4620" w:rsidP="006C1DF9">
            <w:pPr>
              <w:pStyle w:val="Normln0"/>
              <w:spacing w:line="360" w:lineRule="auto"/>
              <w:jc w:val="center"/>
            </w:pPr>
            <w:r>
              <w:rPr>
                <w:color w:val="000000"/>
              </w:rPr>
              <w:t>6/2018</w:t>
            </w:r>
          </w:p>
        </w:tc>
      </w:tr>
    </w:tbl>
    <w:p w:rsidR="002F4620" w:rsidRDefault="002F4620" w:rsidP="002F4620">
      <w:pPr>
        <w:pStyle w:val="Normln0"/>
        <w:rPr>
          <w:b/>
          <w:color w:val="000000"/>
        </w:rPr>
      </w:pPr>
    </w:p>
    <w:p w:rsidR="002F4620" w:rsidRDefault="002F4620" w:rsidP="002F4620">
      <w:pPr>
        <w:pStyle w:val="Normln0"/>
        <w:rPr>
          <w:b/>
          <w:color w:val="000000"/>
        </w:rPr>
      </w:pPr>
    </w:p>
    <w:p w:rsidR="002F4620" w:rsidRDefault="002F4620" w:rsidP="002F4620">
      <w:pPr>
        <w:pStyle w:val="Normln0"/>
        <w:rPr>
          <w:b/>
          <w:color w:val="000000"/>
        </w:rPr>
      </w:pPr>
    </w:p>
    <w:p w:rsidR="002F4620" w:rsidRDefault="002F4620" w:rsidP="002F4620">
      <w:pPr>
        <w:pStyle w:val="Normln0"/>
        <w:rPr>
          <w:b/>
          <w:color w:val="000000"/>
        </w:rPr>
      </w:pPr>
      <w:r>
        <w:rPr>
          <w:b/>
          <w:color w:val="000000"/>
        </w:rPr>
        <w:lastRenderedPageBreak/>
        <w:t>a)  Identifikace stavby</w:t>
      </w:r>
    </w:p>
    <w:p w:rsidR="002F4620" w:rsidRDefault="002F4620" w:rsidP="002F4620">
      <w:pPr>
        <w:pStyle w:val="Normln0"/>
        <w:rPr>
          <w:b/>
          <w:color w:val="000000"/>
        </w:rPr>
      </w:pPr>
    </w:p>
    <w:p w:rsidR="002F4620" w:rsidRDefault="002F4620" w:rsidP="002F4620">
      <w:pPr>
        <w:pStyle w:val="Normln0"/>
        <w:rPr>
          <w:b/>
          <w:color w:val="000000"/>
        </w:rPr>
      </w:pPr>
    </w:p>
    <w:p w:rsidR="002F4620" w:rsidRDefault="002F4620" w:rsidP="002F4620">
      <w:pPr>
        <w:pStyle w:val="Normln0"/>
        <w:rPr>
          <w:b/>
          <w:color w:val="000000"/>
        </w:rPr>
      </w:pPr>
    </w:p>
    <w:p w:rsidR="002F4620" w:rsidRDefault="002F4620" w:rsidP="002F4620">
      <w:pPr>
        <w:pStyle w:val="Normln0"/>
        <w:rPr>
          <w:color w:val="000000"/>
        </w:rPr>
      </w:pPr>
    </w:p>
    <w:p w:rsidR="002F4620" w:rsidRDefault="002F4620" w:rsidP="002F4620">
      <w:pPr>
        <w:pStyle w:val="Normln0"/>
        <w:rPr>
          <w:color w:val="000000"/>
        </w:rPr>
      </w:pPr>
    </w:p>
    <w:p w:rsidR="002F4620" w:rsidRDefault="002F4620" w:rsidP="002F4620">
      <w:pPr>
        <w:pStyle w:val="Normln0"/>
        <w:spacing w:line="360" w:lineRule="auto"/>
        <w:rPr>
          <w:color w:val="000000"/>
        </w:rPr>
      </w:pPr>
      <w:r>
        <w:rPr>
          <w:b/>
          <w:color w:val="000000"/>
        </w:rPr>
        <w:t>investor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Hornické muzeum Příbram, </w:t>
      </w:r>
      <w:proofErr w:type="spellStart"/>
      <w:proofErr w:type="gramStart"/>
      <w:r>
        <w:rPr>
          <w:color w:val="000000"/>
        </w:rPr>
        <w:t>p.o</w:t>
      </w:r>
      <w:proofErr w:type="spellEnd"/>
      <w:r>
        <w:rPr>
          <w:color w:val="000000"/>
        </w:rPr>
        <w:t>.</w:t>
      </w:r>
      <w:proofErr w:type="gramEnd"/>
    </w:p>
    <w:p w:rsidR="002F4620" w:rsidRDefault="002F4620" w:rsidP="002F4620">
      <w:pPr>
        <w:pStyle w:val="Normln0"/>
        <w:spacing w:line="360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Nám. H. Kličky 293</w:t>
      </w:r>
    </w:p>
    <w:p w:rsidR="002F4620" w:rsidRDefault="002F4620" w:rsidP="002F4620">
      <w:pPr>
        <w:pStyle w:val="Normln0"/>
        <w:spacing w:line="360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Příbram VI 261 01 </w:t>
      </w:r>
    </w:p>
    <w:p w:rsidR="002F4620" w:rsidRDefault="002F4620" w:rsidP="002F4620">
      <w:pPr>
        <w:pStyle w:val="Normln0"/>
        <w:spacing w:line="360" w:lineRule="auto"/>
        <w:rPr>
          <w:color w:val="000000"/>
        </w:rPr>
      </w:pPr>
    </w:p>
    <w:p w:rsidR="002F4620" w:rsidRDefault="002F4620" w:rsidP="002F4620">
      <w:pPr>
        <w:pStyle w:val="Normln0"/>
        <w:rPr>
          <w:color w:val="000000"/>
        </w:rPr>
      </w:pPr>
    </w:p>
    <w:p w:rsidR="002F4620" w:rsidRDefault="002F4620" w:rsidP="002F4620">
      <w:pPr>
        <w:pStyle w:val="Normln0"/>
        <w:rPr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color w:val="000000"/>
        </w:rPr>
      </w:pPr>
    </w:p>
    <w:p w:rsidR="002F4620" w:rsidRDefault="002F4620" w:rsidP="002F4620">
      <w:pPr>
        <w:pStyle w:val="Normln2"/>
        <w:spacing w:line="288" w:lineRule="auto"/>
        <w:ind w:left="2880" w:hanging="2880"/>
        <w:rPr>
          <w:b/>
          <w:color w:val="000000"/>
        </w:rPr>
      </w:pPr>
      <w:r>
        <w:rPr>
          <w:b/>
          <w:color w:val="000000"/>
        </w:rPr>
        <w:t>název</w:t>
      </w:r>
      <w:r>
        <w:rPr>
          <w:color w:val="000000"/>
        </w:rPr>
        <w:tab/>
      </w:r>
      <w:r>
        <w:rPr>
          <w:b/>
          <w:color w:val="000000"/>
          <w:sz w:val="22"/>
          <w:szCs w:val="22"/>
          <w:u w:val="single"/>
        </w:rPr>
        <w:t xml:space="preserve">Hornické muzeum – šachta č. 11A </w:t>
      </w:r>
      <w:proofErr w:type="spellStart"/>
      <w:r>
        <w:rPr>
          <w:b/>
          <w:color w:val="000000"/>
          <w:sz w:val="22"/>
          <w:szCs w:val="22"/>
          <w:u w:val="single"/>
        </w:rPr>
        <w:t>Bytíz</w:t>
      </w:r>
      <w:proofErr w:type="spellEnd"/>
    </w:p>
    <w:p w:rsidR="002F4620" w:rsidRDefault="002F4620" w:rsidP="002F4620">
      <w:pPr>
        <w:pStyle w:val="Normln0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2F4620" w:rsidRDefault="002F4620" w:rsidP="002F4620">
      <w:pPr>
        <w:pStyle w:val="Normln0"/>
        <w:rPr>
          <w:b/>
          <w:color w:val="000000"/>
          <w:sz w:val="22"/>
          <w:szCs w:val="22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  <w:sz w:val="22"/>
          <w:szCs w:val="22"/>
        </w:rPr>
        <w:t>SO 01 Strojovna</w:t>
      </w:r>
    </w:p>
    <w:p w:rsidR="002F4620" w:rsidRDefault="002F4620" w:rsidP="002F4620">
      <w:pPr>
        <w:pStyle w:val="Normln2"/>
        <w:spacing w:line="288" w:lineRule="auto"/>
        <w:ind w:left="2880" w:hanging="2880"/>
        <w:rPr>
          <w:b/>
          <w:color w:val="000000"/>
          <w:sz w:val="22"/>
          <w:szCs w:val="22"/>
        </w:rPr>
      </w:pPr>
    </w:p>
    <w:p w:rsidR="002F4620" w:rsidRDefault="002F4620" w:rsidP="002F4620">
      <w:pPr>
        <w:pStyle w:val="Normln0"/>
        <w:spacing w:line="256" w:lineRule="auto"/>
        <w:ind w:left="2160" w:firstLine="720"/>
        <w:jc w:val="both"/>
        <w:rPr>
          <w:b/>
          <w:color w:val="000000"/>
          <w:sz w:val="22"/>
          <w:szCs w:val="22"/>
        </w:rPr>
      </w:pPr>
    </w:p>
    <w:p w:rsidR="002F4620" w:rsidRDefault="002F4620" w:rsidP="002F4620">
      <w:pPr>
        <w:pStyle w:val="Normln0"/>
        <w:spacing w:line="256" w:lineRule="auto"/>
        <w:ind w:left="2160" w:firstLine="720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ind w:left="2160" w:firstLine="720"/>
        <w:jc w:val="both"/>
        <w:rPr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color w:val="000000"/>
        </w:rPr>
      </w:pPr>
    </w:p>
    <w:p w:rsidR="002F4620" w:rsidRDefault="002F4620" w:rsidP="002F4620">
      <w:pPr>
        <w:pStyle w:val="Normln2"/>
        <w:spacing w:line="288" w:lineRule="auto"/>
        <w:ind w:left="2880" w:hanging="2880"/>
        <w:rPr>
          <w:color w:val="000000"/>
        </w:rPr>
      </w:pPr>
      <w:r>
        <w:rPr>
          <w:b/>
          <w:color w:val="000000"/>
        </w:rPr>
        <w:t>místo</w:t>
      </w:r>
      <w:r>
        <w:rPr>
          <w:color w:val="000000"/>
        </w:rPr>
        <w:tab/>
        <w:t xml:space="preserve">kat. </w:t>
      </w:r>
      <w:proofErr w:type="gramStart"/>
      <w:r>
        <w:rPr>
          <w:color w:val="000000"/>
        </w:rPr>
        <w:t>území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Bytíz</w:t>
      </w:r>
      <w:proofErr w:type="spellEnd"/>
    </w:p>
    <w:p w:rsidR="002F4620" w:rsidRDefault="002F4620" w:rsidP="002F4620">
      <w:pPr>
        <w:pStyle w:val="Normln2"/>
        <w:spacing w:line="288" w:lineRule="auto"/>
        <w:ind w:left="2880"/>
        <w:rPr>
          <w:color w:val="000000"/>
        </w:rPr>
      </w:pPr>
      <w:r>
        <w:rPr>
          <w:color w:val="000000"/>
        </w:rPr>
        <w:t xml:space="preserve">parcel. </w:t>
      </w:r>
      <w:proofErr w:type="gramStart"/>
      <w:r>
        <w:rPr>
          <w:color w:val="000000"/>
        </w:rPr>
        <w:t>č.</w:t>
      </w:r>
      <w:proofErr w:type="gramEnd"/>
      <w:r>
        <w:rPr>
          <w:color w:val="000000"/>
        </w:rPr>
        <w:t>:   60/58</w:t>
      </w:r>
    </w:p>
    <w:p w:rsidR="002F4620" w:rsidRDefault="002F4620" w:rsidP="002F4620">
      <w:pPr>
        <w:pStyle w:val="Normln2"/>
        <w:spacing w:line="288" w:lineRule="auto"/>
        <w:rPr>
          <w:color w:val="000000"/>
        </w:rPr>
      </w:pPr>
    </w:p>
    <w:p w:rsidR="002F4620" w:rsidRDefault="002F4620" w:rsidP="002F4620">
      <w:pPr>
        <w:pStyle w:val="Normln2"/>
        <w:spacing w:line="288" w:lineRule="auto"/>
        <w:rPr>
          <w:color w:val="FF0000"/>
        </w:rPr>
      </w:pPr>
    </w:p>
    <w:p w:rsidR="002F4620" w:rsidRDefault="002F4620" w:rsidP="002F4620">
      <w:pPr>
        <w:pStyle w:val="Normln2"/>
        <w:spacing w:line="288" w:lineRule="auto"/>
        <w:rPr>
          <w:color w:val="FF0000"/>
        </w:rPr>
      </w:pPr>
    </w:p>
    <w:p w:rsidR="002F4620" w:rsidRDefault="002F4620" w:rsidP="002F4620">
      <w:pPr>
        <w:pStyle w:val="Normln0"/>
        <w:jc w:val="both"/>
        <w:rPr>
          <w:color w:val="000000"/>
        </w:rPr>
      </w:pPr>
    </w:p>
    <w:p w:rsidR="002F4620" w:rsidRDefault="002F4620" w:rsidP="002F4620">
      <w:pPr>
        <w:pStyle w:val="Normln0"/>
        <w:ind w:left="3060" w:hanging="933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ind w:left="1416" w:firstLine="708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ind w:left="1416" w:firstLine="708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2" w:lineRule="auto"/>
        <w:jc w:val="both"/>
        <w:rPr>
          <w:b/>
          <w:color w:val="000000"/>
        </w:rPr>
      </w:pPr>
      <w:r>
        <w:rPr>
          <w:b/>
          <w:color w:val="000000"/>
        </w:rPr>
        <w:t>stupeň projektu</w:t>
      </w:r>
      <w:r>
        <w:rPr>
          <w:b/>
          <w:color w:val="000000"/>
        </w:rPr>
        <w:tab/>
        <w:t xml:space="preserve">           Společné územní řízení a stavební povolení</w:t>
      </w:r>
    </w:p>
    <w:p w:rsidR="002F4620" w:rsidRDefault="002F4620" w:rsidP="002F4620">
      <w:pPr>
        <w:pStyle w:val="Normln0"/>
        <w:spacing w:line="252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  <w:sz w:val="22"/>
          <w:szCs w:val="22"/>
        </w:rPr>
      </w:pPr>
    </w:p>
    <w:p w:rsidR="002F4620" w:rsidRDefault="002F4620" w:rsidP="002F4620">
      <w:pPr>
        <w:pStyle w:val="Normln0"/>
        <w:spacing w:line="256" w:lineRule="auto"/>
        <w:ind w:left="1416" w:firstLine="708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</w:p>
    <w:p w:rsidR="002F4620" w:rsidRDefault="002F4620" w:rsidP="002F4620">
      <w:pPr>
        <w:pStyle w:val="Normln0"/>
        <w:spacing w:line="256" w:lineRule="auto"/>
        <w:ind w:left="1416" w:firstLine="708"/>
        <w:jc w:val="both"/>
        <w:rPr>
          <w:b/>
          <w:color w:val="000000"/>
          <w:sz w:val="22"/>
          <w:szCs w:val="22"/>
        </w:rPr>
      </w:pPr>
    </w:p>
    <w:p w:rsidR="002F4620" w:rsidRDefault="002F4620" w:rsidP="002F4620">
      <w:pPr>
        <w:pStyle w:val="Normln0"/>
        <w:spacing w:line="256" w:lineRule="auto"/>
        <w:ind w:left="1416" w:firstLine="708"/>
        <w:jc w:val="both"/>
        <w:rPr>
          <w:b/>
          <w:color w:val="000000"/>
          <w:sz w:val="22"/>
          <w:szCs w:val="22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  <w:r>
        <w:rPr>
          <w:rFonts w:eastAsia="Arial"/>
          <w:b/>
          <w:color w:val="000000"/>
        </w:rPr>
        <w:t xml:space="preserve"> </w:t>
      </w: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color w:val="000000"/>
        </w:rPr>
      </w:pPr>
    </w:p>
    <w:p w:rsidR="002F4620" w:rsidRDefault="002F4620" w:rsidP="002F4620">
      <w:pPr>
        <w:pStyle w:val="Normln0"/>
        <w:spacing w:line="256" w:lineRule="auto"/>
        <w:jc w:val="both"/>
        <w:rPr>
          <w:color w:val="000000"/>
        </w:rPr>
      </w:pPr>
    </w:p>
    <w:p w:rsidR="002F4620" w:rsidRDefault="002F4620" w:rsidP="002F4620">
      <w:pPr>
        <w:pStyle w:val="Normln0"/>
        <w:spacing w:line="276" w:lineRule="auto"/>
        <w:jc w:val="both"/>
        <w:rPr>
          <w:b/>
          <w:color w:val="000000"/>
        </w:rPr>
      </w:pPr>
    </w:p>
    <w:p w:rsidR="002F4620" w:rsidRDefault="002F4620" w:rsidP="002F4620">
      <w:pPr>
        <w:pStyle w:val="Normln0"/>
        <w:spacing w:line="276" w:lineRule="auto"/>
        <w:jc w:val="both"/>
        <w:rPr>
          <w:b/>
        </w:rPr>
      </w:pPr>
      <w:r>
        <w:rPr>
          <w:b/>
        </w:rPr>
        <w:lastRenderedPageBreak/>
        <w:t>TECHNICKÁ ZPRÁVA</w:t>
      </w:r>
    </w:p>
    <w:p w:rsidR="002F4620" w:rsidRDefault="002F4620" w:rsidP="002F4620">
      <w:pPr>
        <w:pStyle w:val="Normln0"/>
        <w:spacing w:line="276" w:lineRule="auto"/>
        <w:jc w:val="both"/>
        <w:rPr>
          <w:b/>
        </w:rPr>
      </w:pPr>
    </w:p>
    <w:p w:rsidR="002F4620" w:rsidRDefault="002F4620" w:rsidP="002F4620">
      <w:pPr>
        <w:pStyle w:val="Normln0"/>
        <w:spacing w:line="288" w:lineRule="auto"/>
        <w:ind w:firstLine="708"/>
        <w:jc w:val="both"/>
        <w:rPr>
          <w:rFonts w:eastAsia="Arial"/>
        </w:rPr>
      </w:pPr>
      <w:r>
        <w:rPr>
          <w:b/>
          <w:u w:val="single"/>
        </w:rPr>
        <w:t xml:space="preserve">Rozsah projektové </w:t>
      </w:r>
      <w:proofErr w:type="gramStart"/>
      <w:r>
        <w:rPr>
          <w:b/>
          <w:u w:val="single"/>
        </w:rPr>
        <w:t>dokumentace :</w:t>
      </w:r>
      <w:proofErr w:type="gramEnd"/>
    </w:p>
    <w:p w:rsidR="002F4620" w:rsidRDefault="002F4620" w:rsidP="002F4620">
      <w:pPr>
        <w:pStyle w:val="Normln0"/>
        <w:spacing w:line="288" w:lineRule="auto"/>
        <w:jc w:val="both"/>
      </w:pPr>
      <w:r>
        <w:rPr>
          <w:rFonts w:eastAsia="Arial"/>
        </w:rPr>
        <w:t xml:space="preserve">          </w:t>
      </w:r>
    </w:p>
    <w:p w:rsidR="002F4620" w:rsidRDefault="002F4620" w:rsidP="002F4620">
      <w:pPr>
        <w:pStyle w:val="Normln0"/>
        <w:spacing w:line="276" w:lineRule="auto"/>
        <w:ind w:firstLine="708"/>
        <w:jc w:val="both"/>
        <w:rPr>
          <w:b/>
        </w:rPr>
      </w:pPr>
      <w:r>
        <w:t xml:space="preserve">Projektová dokumentace objektu byla vypracována na základě objednávky Hornického muzea Příbram, </w:t>
      </w:r>
      <w:proofErr w:type="spellStart"/>
      <w:proofErr w:type="gramStart"/>
      <w:r>
        <w:t>p.o</w:t>
      </w:r>
      <w:proofErr w:type="spellEnd"/>
      <w:r>
        <w:t>.</w:t>
      </w:r>
      <w:proofErr w:type="gramEnd"/>
      <w:r>
        <w:t xml:space="preserve">  Projektová dokumentace byla zpracována ve stupni </w:t>
      </w:r>
      <w:r>
        <w:rPr>
          <w:b/>
        </w:rPr>
        <w:t xml:space="preserve">společného územního řízení a stavebního povolení. </w:t>
      </w:r>
      <w:r>
        <w:t xml:space="preserve">Projektová dokumentace vychází z podkladů původního majitele objektů, tj. </w:t>
      </w:r>
      <w:proofErr w:type="spellStart"/>
      <w:r>
        <w:t>Diamo</w:t>
      </w:r>
      <w:proofErr w:type="spellEnd"/>
      <w:r>
        <w:t>, státní podnik. Tyto podklady byly v rámci možností ověřeny, přesto do některých prostor nebyl zajištěn přístup a skutečný stav lze ověřit až při stavebních pracích.</w:t>
      </w:r>
    </w:p>
    <w:p w:rsidR="002F4620" w:rsidRDefault="002F4620" w:rsidP="002F4620">
      <w:pPr>
        <w:pStyle w:val="Normln0"/>
        <w:spacing w:line="360" w:lineRule="auto"/>
        <w:ind w:firstLine="708"/>
        <w:jc w:val="both"/>
        <w:rPr>
          <w:b/>
        </w:rPr>
      </w:pPr>
    </w:p>
    <w:p w:rsidR="002F4620" w:rsidRDefault="002F4620" w:rsidP="002F4620">
      <w:pPr>
        <w:pStyle w:val="Normln0"/>
        <w:spacing w:line="276" w:lineRule="auto"/>
        <w:jc w:val="both"/>
        <w:rPr>
          <w:b/>
          <w:u w:val="single"/>
        </w:rPr>
      </w:pPr>
      <w:r>
        <w:rPr>
          <w:b/>
        </w:rPr>
        <w:t xml:space="preserve">a) </w:t>
      </w:r>
      <w:r>
        <w:rPr>
          <w:b/>
        </w:rPr>
        <w:tab/>
      </w:r>
      <w:r>
        <w:rPr>
          <w:b/>
          <w:u w:val="single"/>
        </w:rPr>
        <w:t>Účel stavby</w:t>
      </w:r>
    </w:p>
    <w:p w:rsidR="002F4620" w:rsidRDefault="002F4620" w:rsidP="002F4620">
      <w:pPr>
        <w:pStyle w:val="Normln0"/>
        <w:spacing w:line="276" w:lineRule="auto"/>
        <w:ind w:firstLine="720"/>
        <w:jc w:val="both"/>
        <w:rPr>
          <w:b/>
          <w:u w:val="single"/>
        </w:rPr>
      </w:pPr>
    </w:p>
    <w:p w:rsidR="002F4620" w:rsidRDefault="002F4620" w:rsidP="002F4620">
      <w:pPr>
        <w:pStyle w:val="Normln0"/>
        <w:spacing w:line="276" w:lineRule="auto"/>
        <w:ind w:firstLine="720"/>
        <w:jc w:val="both"/>
        <w:rPr>
          <w:rFonts w:eastAsia="Arial"/>
        </w:rPr>
      </w:pPr>
      <w:r>
        <w:t xml:space="preserve">Stavba byla v minulosti využívána podnikem </w:t>
      </w:r>
      <w:proofErr w:type="spellStart"/>
      <w:r>
        <w:t>Diamo</w:t>
      </w:r>
      <w:proofErr w:type="spellEnd"/>
      <w:r>
        <w:t xml:space="preserve">, státní podnik, jako strojovna k obsluze důlní věže šachty 11A </w:t>
      </w:r>
      <w:proofErr w:type="spellStart"/>
      <w:r>
        <w:t>Bytíz</w:t>
      </w:r>
      <w:proofErr w:type="spellEnd"/>
      <w:r>
        <w:t xml:space="preserve">. Tato strojovna obsahuje dva těžní stroje s ovládacími kabinami pro strojníka. Účelem této projektové dokumentace je rekonstruovat poškozené části stavby a zabezpečit stavbu proti vzniku poruch a vytvořit v prostorech objektu stálou expozici Hornického muzea Příbram. </w:t>
      </w:r>
    </w:p>
    <w:p w:rsidR="002F4620" w:rsidRDefault="002F4620" w:rsidP="002F4620">
      <w:pPr>
        <w:pStyle w:val="Normln0"/>
        <w:spacing w:line="276" w:lineRule="auto"/>
        <w:ind w:firstLine="720"/>
        <w:jc w:val="both"/>
        <w:rPr>
          <w:b/>
        </w:rPr>
      </w:pPr>
      <w:r>
        <w:rPr>
          <w:rFonts w:eastAsia="Arial"/>
        </w:rPr>
        <w:t xml:space="preserve">  </w:t>
      </w:r>
    </w:p>
    <w:p w:rsidR="002F4620" w:rsidRDefault="002F4620" w:rsidP="002F4620">
      <w:pPr>
        <w:pStyle w:val="Normln0"/>
        <w:spacing w:line="276" w:lineRule="auto"/>
        <w:jc w:val="both"/>
        <w:rPr>
          <w:b/>
          <w:u w:val="single"/>
        </w:rPr>
      </w:pPr>
      <w:r>
        <w:rPr>
          <w:b/>
        </w:rPr>
        <w:t>b)</w:t>
      </w:r>
      <w:r>
        <w:rPr>
          <w:b/>
        </w:rPr>
        <w:tab/>
      </w:r>
      <w:r>
        <w:rPr>
          <w:b/>
          <w:u w:val="single"/>
        </w:rPr>
        <w:t>Architektonické řešení</w:t>
      </w:r>
    </w:p>
    <w:p w:rsidR="002F4620" w:rsidRDefault="002F4620" w:rsidP="002F4620">
      <w:pPr>
        <w:pStyle w:val="Normln0"/>
        <w:spacing w:line="276" w:lineRule="auto"/>
        <w:jc w:val="both"/>
        <w:rPr>
          <w:b/>
          <w:u w:val="single"/>
        </w:rPr>
      </w:pPr>
    </w:p>
    <w:p w:rsidR="002F4620" w:rsidRPr="00D1514A" w:rsidRDefault="002F4620" w:rsidP="002F4620">
      <w:pPr>
        <w:pStyle w:val="Normln0"/>
        <w:spacing w:line="276" w:lineRule="auto"/>
        <w:jc w:val="both"/>
      </w:pPr>
      <w:r>
        <w:tab/>
        <w:t xml:space="preserve">Stavební úpravy v prostoru objektu budou minimální, jedná se zejména o odstranění havarijních poruch na objektu a zachování původního vzhledu a dispozice stavby. </w:t>
      </w:r>
      <w:r w:rsidRPr="00D1514A">
        <w:t xml:space="preserve">V objektu dojde nově k vytvoření úklidové místnosti, opravy vnitřních omítek, dlažeb, rekonstrukce přístupových ramp s provedením nové rampy pro osoby s omezenou schopností pohybu. </w:t>
      </w:r>
    </w:p>
    <w:p w:rsidR="002F4620" w:rsidRPr="00D1514A" w:rsidRDefault="002F4620" w:rsidP="002F4620">
      <w:pPr>
        <w:pStyle w:val="Normln0"/>
        <w:spacing w:line="276" w:lineRule="auto"/>
        <w:jc w:val="both"/>
      </w:pPr>
    </w:p>
    <w:p w:rsidR="002F4620" w:rsidRPr="00D1514A" w:rsidRDefault="002F4620" w:rsidP="002F4620">
      <w:pPr>
        <w:pStyle w:val="Normln0"/>
        <w:spacing w:line="276" w:lineRule="auto"/>
        <w:jc w:val="both"/>
        <w:rPr>
          <w:b/>
          <w:u w:val="single"/>
        </w:rPr>
      </w:pPr>
      <w:r w:rsidRPr="00D1514A">
        <w:rPr>
          <w:b/>
        </w:rPr>
        <w:t>c)</w:t>
      </w:r>
      <w:r w:rsidRPr="00D1514A">
        <w:rPr>
          <w:b/>
        </w:rPr>
        <w:tab/>
      </w:r>
      <w:r w:rsidRPr="00D1514A">
        <w:rPr>
          <w:b/>
          <w:u w:val="single"/>
        </w:rPr>
        <w:t>Kapacity, užitkové plochy</w:t>
      </w:r>
    </w:p>
    <w:p w:rsidR="002F4620" w:rsidRPr="00D1514A" w:rsidRDefault="002F4620" w:rsidP="002F4620">
      <w:pPr>
        <w:pStyle w:val="Normln0"/>
        <w:spacing w:line="276" w:lineRule="auto"/>
        <w:jc w:val="both"/>
        <w:rPr>
          <w:u w:val="single"/>
        </w:rPr>
      </w:pPr>
    </w:p>
    <w:p w:rsidR="002F4620" w:rsidRPr="00D1514A" w:rsidRDefault="002F4620" w:rsidP="002F4620">
      <w:pPr>
        <w:pStyle w:val="Normln0"/>
        <w:spacing w:line="276" w:lineRule="auto"/>
        <w:jc w:val="both"/>
      </w:pPr>
      <w:r w:rsidRPr="00D1514A">
        <w:tab/>
        <w:t>Zastavěná plocha:</w:t>
      </w:r>
      <w:r w:rsidRPr="00D1514A">
        <w:tab/>
        <w:t>1209m</w:t>
      </w:r>
      <w:r w:rsidRPr="00D1514A">
        <w:rPr>
          <w:vertAlign w:val="superscript"/>
        </w:rPr>
        <w:t>2</w:t>
      </w:r>
    </w:p>
    <w:p w:rsidR="002F4620" w:rsidRPr="00D1514A" w:rsidRDefault="002F4620" w:rsidP="002F4620">
      <w:pPr>
        <w:pStyle w:val="Normln0"/>
        <w:spacing w:line="276" w:lineRule="auto"/>
        <w:jc w:val="both"/>
      </w:pPr>
      <w:r w:rsidRPr="00D1514A">
        <w:tab/>
        <w:t xml:space="preserve">Obestavěný prostor: </w:t>
      </w:r>
      <w:r w:rsidRPr="00D1514A">
        <w:tab/>
        <w:t>17326m</w:t>
      </w:r>
      <w:r w:rsidRPr="00D1514A">
        <w:rPr>
          <w:vertAlign w:val="superscript"/>
        </w:rPr>
        <w:t>3</w:t>
      </w:r>
    </w:p>
    <w:p w:rsidR="002F4620" w:rsidRPr="00D1514A" w:rsidRDefault="002F4620" w:rsidP="002F4620">
      <w:pPr>
        <w:pStyle w:val="Normln0"/>
        <w:spacing w:line="276" w:lineRule="auto"/>
        <w:jc w:val="both"/>
        <w:rPr>
          <w:vertAlign w:val="superscript"/>
        </w:rPr>
      </w:pPr>
      <w:r w:rsidRPr="00D1514A">
        <w:tab/>
        <w:t xml:space="preserve">Užitná plocha: </w:t>
      </w:r>
      <w:r w:rsidRPr="00D1514A">
        <w:tab/>
      </w:r>
      <w:r w:rsidRPr="00D1514A">
        <w:tab/>
        <w:t>2076,1m</w:t>
      </w:r>
      <w:r w:rsidRPr="00D1514A">
        <w:rPr>
          <w:vertAlign w:val="superscript"/>
        </w:rPr>
        <w:t>2</w:t>
      </w:r>
    </w:p>
    <w:p w:rsidR="002F4620" w:rsidRPr="00D1514A" w:rsidRDefault="002F4620" w:rsidP="002F4620">
      <w:pPr>
        <w:pStyle w:val="Normln0"/>
        <w:spacing w:line="276" w:lineRule="auto"/>
        <w:jc w:val="both"/>
        <w:rPr>
          <w:vertAlign w:val="superscript"/>
        </w:rPr>
      </w:pPr>
    </w:p>
    <w:p w:rsidR="002F4620" w:rsidRPr="00D1514A" w:rsidRDefault="002F4620" w:rsidP="002F4620">
      <w:pPr>
        <w:pStyle w:val="Normln0"/>
        <w:spacing w:line="276" w:lineRule="auto"/>
        <w:jc w:val="both"/>
        <w:rPr>
          <w:b/>
          <w:u w:val="single"/>
        </w:rPr>
      </w:pPr>
      <w:r w:rsidRPr="00D1514A">
        <w:rPr>
          <w:b/>
        </w:rPr>
        <w:t xml:space="preserve">d) </w:t>
      </w:r>
      <w:r w:rsidRPr="00D1514A">
        <w:rPr>
          <w:b/>
        </w:rPr>
        <w:tab/>
      </w:r>
      <w:r w:rsidRPr="00D1514A">
        <w:rPr>
          <w:b/>
          <w:u w:val="single"/>
        </w:rPr>
        <w:t>Technické a konstrukční řešení</w:t>
      </w:r>
    </w:p>
    <w:p w:rsidR="002F4620" w:rsidRPr="00D1514A" w:rsidRDefault="002F4620" w:rsidP="002F4620">
      <w:pPr>
        <w:pStyle w:val="Normln0"/>
        <w:jc w:val="both"/>
        <w:rPr>
          <w:u w:val="single"/>
        </w:rPr>
      </w:pPr>
    </w:p>
    <w:p w:rsidR="002F4620" w:rsidRPr="00D1514A" w:rsidRDefault="002F4620" w:rsidP="002F4620">
      <w:pPr>
        <w:pStyle w:val="Normln0"/>
        <w:spacing w:line="288" w:lineRule="auto"/>
        <w:jc w:val="both"/>
        <w:rPr>
          <w:b/>
        </w:rPr>
      </w:pPr>
      <w:r w:rsidRPr="00D1514A">
        <w:rPr>
          <w:sz w:val="22"/>
          <w:szCs w:val="22"/>
        </w:rPr>
        <w:tab/>
      </w:r>
      <w:r w:rsidRPr="00D1514A">
        <w:rPr>
          <w:b/>
        </w:rPr>
        <w:t xml:space="preserve">Zemní práce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 xml:space="preserve">V místě nově budované ocelové rampy pro vozíčkáře, dojde k vyhloubení rýh pro základové patky sloupků. </w:t>
      </w:r>
    </w:p>
    <w:p w:rsidR="002F4620" w:rsidRPr="00D1514A" w:rsidRDefault="002F4620" w:rsidP="002F4620">
      <w:pPr>
        <w:pStyle w:val="Normln0"/>
        <w:spacing w:line="288" w:lineRule="auto"/>
        <w:jc w:val="both"/>
        <w:rPr>
          <w:color w:val="FF0000"/>
        </w:rPr>
      </w:pPr>
    </w:p>
    <w:p w:rsidR="002F4620" w:rsidRPr="00D1514A" w:rsidRDefault="002F4620" w:rsidP="002F4620">
      <w:pPr>
        <w:pStyle w:val="Normln0"/>
        <w:spacing w:line="288" w:lineRule="auto"/>
        <w:jc w:val="both"/>
        <w:rPr>
          <w:b/>
        </w:rPr>
      </w:pPr>
      <w:r w:rsidRPr="00D1514A">
        <w:tab/>
      </w:r>
      <w:r w:rsidRPr="00D1514A">
        <w:rPr>
          <w:b/>
        </w:rPr>
        <w:t>Základové konstrukce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 xml:space="preserve">Základové patky přístupové rampy jsou navrženy o rozměru 300x300mm a do hloubky 0,8m. Vzdálenost základových patek je navržena maximálně 2m. </w:t>
      </w:r>
      <w:r w:rsidRPr="00D1514A">
        <w:tab/>
      </w:r>
    </w:p>
    <w:p w:rsidR="002F4620" w:rsidRPr="00D1514A" w:rsidRDefault="002F4620" w:rsidP="002F4620">
      <w:pPr>
        <w:pStyle w:val="Normln0"/>
        <w:spacing w:line="288" w:lineRule="auto"/>
        <w:jc w:val="both"/>
      </w:pPr>
    </w:p>
    <w:p w:rsidR="002F4620" w:rsidRPr="00D1514A" w:rsidRDefault="002F4620" w:rsidP="002F4620">
      <w:pPr>
        <w:pStyle w:val="Normln0"/>
        <w:spacing w:line="288" w:lineRule="auto"/>
        <w:jc w:val="both"/>
        <w:rPr>
          <w:b/>
        </w:rPr>
      </w:pPr>
      <w:r w:rsidRPr="00D1514A">
        <w:tab/>
      </w:r>
      <w:r w:rsidRPr="00D1514A">
        <w:rPr>
          <w:b/>
        </w:rPr>
        <w:t>Svislé konstrukce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>V prostoru kompenzace účiníků dojde k vestavbě úklidové místnosti. Obvodová konstrukce je navržena z </w:t>
      </w:r>
      <w:proofErr w:type="gramStart"/>
      <w:r w:rsidRPr="00D1514A">
        <w:t>PUR</w:t>
      </w:r>
      <w:proofErr w:type="gramEnd"/>
      <w:r w:rsidRPr="00D1514A">
        <w:t xml:space="preserve"> panelů, tvořící samostatnou tepelněizolační buňku v objektu. Viditelná část konstrukce z interiéru bude obezděna keramickým zdivem na maltu MVC, tloušťky 150mm. Pro potřeby rozvodů k umyvadlu a výlevce bude provedena sádrokartonová </w:t>
      </w:r>
      <w:proofErr w:type="spellStart"/>
      <w:r w:rsidRPr="00D1514A">
        <w:t>předstěna</w:t>
      </w:r>
      <w:proofErr w:type="spellEnd"/>
      <w:r w:rsidRPr="00D1514A">
        <w:t>, pro umístění nosných rámů zařizovacích předmětů.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</w:r>
    </w:p>
    <w:p w:rsidR="002F4620" w:rsidRPr="00D1514A" w:rsidRDefault="002F4620" w:rsidP="002F4620">
      <w:pPr>
        <w:pStyle w:val="Normln0"/>
        <w:spacing w:line="288" w:lineRule="auto"/>
        <w:jc w:val="both"/>
        <w:rPr>
          <w:b/>
        </w:rPr>
      </w:pPr>
      <w:r w:rsidRPr="00D1514A">
        <w:tab/>
      </w:r>
      <w:r w:rsidRPr="00D1514A">
        <w:rPr>
          <w:b/>
        </w:rPr>
        <w:t xml:space="preserve">Povrch vnitřních stěn </w:t>
      </w:r>
    </w:p>
    <w:p w:rsidR="002F4620" w:rsidRPr="00D1514A" w:rsidRDefault="002F4620" w:rsidP="002F4620">
      <w:pPr>
        <w:pStyle w:val="Normln0"/>
        <w:spacing w:line="276" w:lineRule="auto"/>
        <w:jc w:val="both"/>
      </w:pPr>
      <w:r w:rsidRPr="00D1514A">
        <w:tab/>
        <w:t xml:space="preserve">V místnosti úklidové komory bude proveden keramický obklad na </w:t>
      </w:r>
      <w:proofErr w:type="spellStart"/>
      <w:r w:rsidRPr="00D1514A">
        <w:t>předstěně</w:t>
      </w:r>
      <w:proofErr w:type="spellEnd"/>
      <w:r w:rsidRPr="00D1514A">
        <w:t xml:space="preserve"> za umyvadlem a výlevkou. </w:t>
      </w:r>
    </w:p>
    <w:p w:rsidR="002F4620" w:rsidRPr="00D1514A" w:rsidRDefault="002F4620" w:rsidP="002F4620">
      <w:pPr>
        <w:pStyle w:val="Normln0"/>
        <w:jc w:val="both"/>
      </w:pPr>
    </w:p>
    <w:p w:rsidR="00D1514A" w:rsidRDefault="002F4620" w:rsidP="002F4620">
      <w:pPr>
        <w:pStyle w:val="Normln0"/>
        <w:spacing w:line="288" w:lineRule="auto"/>
        <w:jc w:val="both"/>
      </w:pPr>
      <w:r w:rsidRPr="00D1514A">
        <w:tab/>
      </w:r>
    </w:p>
    <w:p w:rsidR="002F4620" w:rsidRPr="00D1514A" w:rsidRDefault="00D1514A" w:rsidP="002F4620">
      <w:pPr>
        <w:pStyle w:val="Normln0"/>
        <w:spacing w:line="288" w:lineRule="auto"/>
        <w:jc w:val="both"/>
        <w:rPr>
          <w:b/>
        </w:rPr>
      </w:pPr>
      <w:r>
        <w:lastRenderedPageBreak/>
        <w:t xml:space="preserve">             </w:t>
      </w:r>
      <w:r w:rsidR="002F4620" w:rsidRPr="00D1514A">
        <w:rPr>
          <w:b/>
        </w:rPr>
        <w:t>Povrch vnějších stěn</w:t>
      </w:r>
    </w:p>
    <w:p w:rsidR="002F4620" w:rsidRPr="00D1514A" w:rsidRDefault="002F4620" w:rsidP="002F4620">
      <w:pPr>
        <w:pStyle w:val="Normln0"/>
        <w:spacing w:line="276" w:lineRule="auto"/>
        <w:jc w:val="both"/>
      </w:pPr>
      <w:r w:rsidRPr="00D1514A">
        <w:tab/>
        <w:t xml:space="preserve">Vnější povrchy obvodového zdiva budou ponechány stávající, pouze v místech, kde je poškozená omítka bude odstraněna stávající vrstva, následně budou odstraněny poškozené a degradované části zdiva. Spáry zdiva budou proškrábány, provedena dozdívka poškozených částí a nově vyspárováno cementovou maltou. Po provedení těchto prací bude zdivo opatřeno novou hrubou omítkou. </w:t>
      </w:r>
    </w:p>
    <w:p w:rsidR="002F4620" w:rsidRPr="00D1514A" w:rsidRDefault="002F4620" w:rsidP="002F4620">
      <w:pPr>
        <w:pStyle w:val="Normln0"/>
        <w:spacing w:line="288" w:lineRule="auto"/>
        <w:jc w:val="both"/>
      </w:pPr>
    </w:p>
    <w:p w:rsidR="002F4620" w:rsidRPr="00D1514A" w:rsidRDefault="002F4620" w:rsidP="002F4620">
      <w:pPr>
        <w:pStyle w:val="Normln0"/>
        <w:spacing w:line="288" w:lineRule="auto"/>
        <w:jc w:val="both"/>
        <w:rPr>
          <w:b/>
        </w:rPr>
      </w:pPr>
      <w:r w:rsidRPr="00D1514A">
        <w:tab/>
      </w:r>
      <w:r w:rsidRPr="00D1514A">
        <w:rPr>
          <w:b/>
        </w:rPr>
        <w:t xml:space="preserve">Podlahové konstrukce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 xml:space="preserve">Podlahová krytina v prostoru strojovny a kompenzace účiníků je stávající keramická dlažba o rozměru 80x80mm, která bude z části nahrazena či doplněna, dle stávajícího vzoru.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 xml:space="preserve">V prostoru úklidové místnosti bude provedena nová keramická dlažba. </w:t>
      </w:r>
    </w:p>
    <w:p w:rsidR="002F4620" w:rsidRPr="00D1514A" w:rsidRDefault="002F4620" w:rsidP="002F4620">
      <w:pPr>
        <w:pStyle w:val="Normln0"/>
        <w:spacing w:line="288" w:lineRule="auto"/>
        <w:jc w:val="both"/>
      </w:pPr>
    </w:p>
    <w:p w:rsidR="002F4620" w:rsidRPr="00D1514A" w:rsidRDefault="002F4620" w:rsidP="002F4620">
      <w:pPr>
        <w:pStyle w:val="Normln0"/>
        <w:spacing w:line="288" w:lineRule="auto"/>
        <w:jc w:val="both"/>
        <w:rPr>
          <w:b/>
        </w:rPr>
      </w:pPr>
      <w:r w:rsidRPr="00D1514A">
        <w:tab/>
      </w:r>
      <w:r w:rsidRPr="00D1514A">
        <w:rPr>
          <w:b/>
        </w:rPr>
        <w:t xml:space="preserve">Stávající přístupové rampy 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 xml:space="preserve">Stávající přístupové rampy budou z důvodu nevyhovujícího stavu rekonstruovány. Nejprve dojde k odstranění nesoudržných částí rampy a </w:t>
      </w:r>
      <w:proofErr w:type="spellStart"/>
      <w:r w:rsidRPr="00D1514A">
        <w:t>otryskání</w:t>
      </w:r>
      <w:proofErr w:type="spellEnd"/>
      <w:r w:rsidRPr="00D1514A">
        <w:t xml:space="preserve">. Následně bude provedena oprava poškozených částí výztuže a </w:t>
      </w:r>
      <w:proofErr w:type="spellStart"/>
      <w:r w:rsidRPr="00D1514A">
        <w:t>natorkretování</w:t>
      </w:r>
      <w:proofErr w:type="spellEnd"/>
      <w:r w:rsidRPr="00D1514A">
        <w:t xml:space="preserve"> betonové vrstvy do původní tloušťky rampy.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</w:r>
    </w:p>
    <w:p w:rsidR="002F4620" w:rsidRPr="00D1514A" w:rsidRDefault="002F4620" w:rsidP="002F4620">
      <w:pPr>
        <w:pStyle w:val="Normln0"/>
        <w:spacing w:line="288" w:lineRule="auto"/>
        <w:jc w:val="both"/>
        <w:rPr>
          <w:b/>
        </w:rPr>
      </w:pPr>
      <w:r w:rsidRPr="00D1514A">
        <w:tab/>
      </w:r>
      <w:r w:rsidRPr="00D1514A">
        <w:rPr>
          <w:b/>
        </w:rPr>
        <w:t>Výplňové konstrukce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>Stávající prosklené plochy z </w:t>
      </w:r>
      <w:proofErr w:type="spellStart"/>
      <w:r w:rsidRPr="00D1514A">
        <w:t>drátkoskla</w:t>
      </w:r>
      <w:proofErr w:type="spellEnd"/>
      <w:r w:rsidRPr="00D1514A">
        <w:t xml:space="preserve"> budou zkontrolovány a poškozené skleněné výplně budou vyměněny za nová </w:t>
      </w:r>
      <w:proofErr w:type="spellStart"/>
      <w:r w:rsidRPr="00D1514A">
        <w:t>drátkoskla</w:t>
      </w:r>
      <w:proofErr w:type="spellEnd"/>
      <w:r w:rsidRPr="00D1514A">
        <w:t xml:space="preserve"> stejného druhu.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 xml:space="preserve">Nová dveřní výplň, pro vstup do úklidové místnosti bude z plastových, tepelněizolačních profilů. 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</w:r>
    </w:p>
    <w:p w:rsidR="002F4620" w:rsidRPr="00D1514A" w:rsidRDefault="002F4620" w:rsidP="002F4620">
      <w:pPr>
        <w:pStyle w:val="Normln0"/>
        <w:spacing w:line="288" w:lineRule="auto"/>
        <w:jc w:val="both"/>
        <w:rPr>
          <w:b/>
        </w:rPr>
      </w:pPr>
      <w:r w:rsidRPr="00D1514A">
        <w:tab/>
      </w:r>
      <w:r w:rsidRPr="00D1514A">
        <w:rPr>
          <w:b/>
        </w:rPr>
        <w:t>Zámečnické konstrukce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>Přístupová rampa je navržena lehká ocelová pozinkovaná s podlahovou vrstvou z </w:t>
      </w:r>
      <w:proofErr w:type="spellStart"/>
      <w:r w:rsidRPr="00D1514A">
        <w:t>pororoštu</w:t>
      </w:r>
      <w:proofErr w:type="spellEnd"/>
      <w:r w:rsidRPr="00D1514A">
        <w:t xml:space="preserve">. Nosná konstrukce je z uzavřených profilů (jekl) TR 100/5, jedná se o sloupky, příčníky a schodnici.  Sloupky jsou navrženy po vzdálenosti 2m s příčníky na šířku 1,5m. Podlahová vrstva bude provedena z pozinkovaného </w:t>
      </w:r>
      <w:proofErr w:type="spellStart"/>
      <w:r w:rsidRPr="00D1514A">
        <w:t>pororoštu</w:t>
      </w:r>
      <w:proofErr w:type="spellEnd"/>
      <w:r w:rsidRPr="00D1514A">
        <w:t xml:space="preserve"> P-440-33-4 o tloušťce 40mm. Konstrukce bude montovaná a k základovým patkám kotvená chemickými kotvami.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 xml:space="preserve">Přístupové rampy budou nově opatřeny ocelovým pozinkovaným zábradlím s kotvením z boku do ramp. Výška zábradlí je navržena 900mm se sloupky po 2m. Zábradlí bude opatřeno vodícím tyčí ve výšce 200mm a druhým madlem ve výšce 750mm.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 xml:space="preserve">V prostoru strojovny budou nově provedeny pozinkované </w:t>
      </w:r>
      <w:proofErr w:type="spellStart"/>
      <w:r w:rsidRPr="00D1514A">
        <w:t>pororošty</w:t>
      </w:r>
      <w:proofErr w:type="spellEnd"/>
      <w:r w:rsidRPr="00D1514A">
        <w:t xml:space="preserve"> P-440-33-4 o rozměru 0,7x4,6m.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</w:r>
      <w:r w:rsidRPr="00D1514A">
        <w:tab/>
      </w:r>
    </w:p>
    <w:p w:rsidR="002F4620" w:rsidRPr="00D1514A" w:rsidRDefault="002F4620" w:rsidP="002F4620">
      <w:pPr>
        <w:pStyle w:val="Normln0"/>
        <w:spacing w:line="288" w:lineRule="auto"/>
        <w:jc w:val="both"/>
        <w:rPr>
          <w:b/>
        </w:rPr>
      </w:pPr>
      <w:r w:rsidRPr="00D1514A">
        <w:tab/>
      </w:r>
      <w:r w:rsidRPr="00D1514A">
        <w:rPr>
          <w:b/>
        </w:rPr>
        <w:t xml:space="preserve">Klempířské prvky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  <w:t xml:space="preserve">Na objektu dojde k výměně oplechování atik pomocí pozinkovaného plechu. </w:t>
      </w: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tab/>
      </w:r>
      <w:r w:rsidRPr="00D1514A">
        <w:tab/>
      </w:r>
    </w:p>
    <w:p w:rsidR="002F4620" w:rsidRPr="00D1514A" w:rsidRDefault="002F4620" w:rsidP="002F4620">
      <w:pPr>
        <w:pStyle w:val="Normln0"/>
        <w:spacing w:line="288" w:lineRule="auto"/>
        <w:jc w:val="both"/>
      </w:pPr>
    </w:p>
    <w:p w:rsidR="002F4620" w:rsidRPr="00D1514A" w:rsidRDefault="002F4620" w:rsidP="002F4620">
      <w:pPr>
        <w:pStyle w:val="Normln0"/>
        <w:spacing w:line="288" w:lineRule="auto"/>
        <w:jc w:val="both"/>
      </w:pPr>
      <w:r w:rsidRPr="00D1514A">
        <w:rPr>
          <w:rFonts w:eastAsia="Arial"/>
        </w:rPr>
        <w:t xml:space="preserve"> </w:t>
      </w:r>
    </w:p>
    <w:p w:rsidR="00A1629A" w:rsidRPr="00D1514A" w:rsidRDefault="00A1629A">
      <w:bookmarkStart w:id="0" w:name="_GoBack"/>
      <w:bookmarkEnd w:id="0"/>
    </w:p>
    <w:sectPr w:rsidR="00A1629A" w:rsidRPr="00D1514A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417" w:right="1417" w:bottom="1417" w:left="1417" w:header="283" w:footer="1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F9" w:rsidRDefault="00D1514A">
    <w:pPr>
      <w:pStyle w:val="Zpat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  <w:p w:rsidR="00326BF9" w:rsidRDefault="00D151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F9" w:rsidRDefault="00D1514A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F9" w:rsidRDefault="00D1514A">
    <w:pPr>
      <w:pStyle w:val="Zkladntext"/>
      <w:rPr>
        <w:rFonts w:ascii="Arial" w:hAnsi="Arial" w:cs="Arial"/>
        <w:sz w:val="16"/>
        <w:szCs w:val="16"/>
        <w:u w:val="single"/>
      </w:rPr>
    </w:pPr>
  </w:p>
  <w:p w:rsidR="00326BF9" w:rsidRDefault="00D1514A">
    <w:pPr>
      <w:pStyle w:val="Zkladntex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u w:val="single"/>
      </w:rPr>
      <w:t>ING. JANA SOUČKOVÁ - PROJEKCE</w:t>
    </w:r>
    <w:r>
      <w:rPr>
        <w:rFonts w:ascii="Arial" w:hAnsi="Arial" w:cs="Arial"/>
        <w:sz w:val="16"/>
        <w:szCs w:val="16"/>
        <w:u w:val="single"/>
      </w:rPr>
      <w:tab/>
    </w:r>
    <w:r>
      <w:rPr>
        <w:rFonts w:ascii="Arial" w:hAnsi="Arial" w:cs="Arial"/>
        <w:sz w:val="16"/>
        <w:szCs w:val="16"/>
        <w:u w:val="single"/>
      </w:rPr>
      <w:tab/>
      <w:t xml:space="preserve">                                                       ul. Gen. Tesaříka 136, 261 01 Příbram I</w:t>
    </w:r>
  </w:p>
  <w:p w:rsidR="00326BF9" w:rsidRDefault="00D1514A">
    <w:pPr>
      <w:pStyle w:val="Zkladntext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e-mail: projekce.jindrja@seznam.cz, tel.: 723 036 303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F9" w:rsidRDefault="00D1514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20"/>
    <w:rsid w:val="002F4620"/>
    <w:rsid w:val="00A1629A"/>
    <w:rsid w:val="00D1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A074"/>
  <w15:chartTrackingRefBased/>
  <w15:docId w15:val="{FAF248B5-909B-4814-9FEE-0C9A7FFA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6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F4620"/>
    <w:pPr>
      <w:widowControl w:val="0"/>
      <w:spacing w:line="288" w:lineRule="auto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2F462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ormln1">
    <w:name w:val="Normální1"/>
    <w:rsid w:val="002F46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ormln0">
    <w:name w:val="Normální~"/>
    <w:basedOn w:val="Normln"/>
    <w:rsid w:val="002F4620"/>
    <w:pPr>
      <w:widowControl w:val="0"/>
    </w:pPr>
    <w:rPr>
      <w:rFonts w:ascii="Arial" w:hAnsi="Arial" w:cs="Arial"/>
    </w:rPr>
  </w:style>
  <w:style w:type="paragraph" w:styleId="Zhlav">
    <w:name w:val="header"/>
    <w:basedOn w:val="Normln1"/>
    <w:link w:val="ZhlavChar"/>
    <w:rsid w:val="002F4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F462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ormln2">
    <w:name w:val="Normální~~"/>
    <w:basedOn w:val="Normln"/>
    <w:rsid w:val="002F4620"/>
    <w:pPr>
      <w:widowControl w:val="0"/>
    </w:pPr>
    <w:rPr>
      <w:rFonts w:ascii="Arial" w:hAnsi="Arial" w:cs="Arial"/>
    </w:rPr>
  </w:style>
  <w:style w:type="paragraph" w:styleId="Zpat">
    <w:name w:val="footer"/>
    <w:basedOn w:val="Normln"/>
    <w:link w:val="ZpatChar"/>
    <w:rsid w:val="002F4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F462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753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Hornické muzeum Příbram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Karda</dc:creator>
  <cp:keywords/>
  <dc:description/>
  <cp:lastModifiedBy>Milan Karda</cp:lastModifiedBy>
  <cp:revision>1</cp:revision>
  <dcterms:created xsi:type="dcterms:W3CDTF">2022-09-27T09:07:00Z</dcterms:created>
  <dcterms:modified xsi:type="dcterms:W3CDTF">2022-09-27T09:24:00Z</dcterms:modified>
</cp:coreProperties>
</file>