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27D" w:rsidRDefault="00C2027D" w:rsidP="00EF4C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C91" w:rsidRPr="00817BA2" w:rsidRDefault="00817BA2" w:rsidP="00EF4C91">
      <w:pPr>
        <w:jc w:val="center"/>
        <w:rPr>
          <w:b/>
          <w:lang w:eastAsia="cs-CZ"/>
        </w:rPr>
      </w:pPr>
      <w:r w:rsidRPr="00817BA2">
        <w:rPr>
          <w:rFonts w:ascii="Times New Roman" w:hAnsi="Times New Roman" w:cs="Times New Roman"/>
          <w:b/>
          <w:sz w:val="24"/>
          <w:szCs w:val="24"/>
        </w:rPr>
        <w:t>Bližší specifikace předmětu plnění veřejné zakázky</w:t>
      </w:r>
    </w:p>
    <w:p w:rsidR="00817BA2" w:rsidRDefault="00817BA2" w:rsidP="00EF4C91">
      <w:pPr>
        <w:jc w:val="center"/>
        <w:rPr>
          <w:lang w:eastAsia="cs-CZ"/>
        </w:rPr>
      </w:pPr>
    </w:p>
    <w:p w:rsidR="00EF4C91" w:rsidRDefault="00817BA2" w:rsidP="00817BA2">
      <w:pPr>
        <w:pStyle w:val="Odstavecseseznamem"/>
        <w:numPr>
          <w:ilvl w:val="0"/>
          <w:numId w:val="4"/>
        </w:numPr>
        <w:ind w:left="336"/>
        <w:rPr>
          <w:lang w:eastAsia="cs-CZ"/>
        </w:rPr>
      </w:pPr>
      <w:r>
        <w:rPr>
          <w:lang w:eastAsia="cs-CZ"/>
        </w:rPr>
        <w:t>Migrace aplikace CES</w:t>
      </w:r>
    </w:p>
    <w:p w:rsidR="00817BA2" w:rsidRDefault="00817BA2" w:rsidP="00817BA2">
      <w:pPr>
        <w:ind w:left="336"/>
        <w:jc w:val="both"/>
        <w:rPr>
          <w:lang w:eastAsia="cs-CZ"/>
        </w:rPr>
      </w:pPr>
      <w:r>
        <w:rPr>
          <w:lang w:eastAsia="cs-CZ"/>
        </w:rPr>
        <w:t>Aplikace CES je aktuálně provozována v technologickém centru Středočeského kraje, používá ji 97 příspěvkových organizací – přesný seznam je součástí přílohy č. 9 zadávací dokumentace.</w:t>
      </w:r>
    </w:p>
    <w:p w:rsidR="00817BA2" w:rsidRDefault="00817BA2" w:rsidP="00817BA2">
      <w:pPr>
        <w:ind w:left="336"/>
        <w:jc w:val="both"/>
        <w:rPr>
          <w:lang w:eastAsia="cs-CZ"/>
        </w:rPr>
      </w:pPr>
      <w:r>
        <w:rPr>
          <w:lang w:eastAsia="cs-CZ"/>
        </w:rPr>
        <w:t xml:space="preserve">Cílem migrace je úplný přesun ze stávajícího úložiště na nové úložiště, včetně zprovoznění a dalšího provozování aplikace v novém prostředí. Jedná se nejen o přenos databáze, ale i o související služby nutné k provozu aplikace, mailový server na odesílání notifikací, nové </w:t>
      </w:r>
      <w:proofErr w:type="spellStart"/>
      <w:r>
        <w:rPr>
          <w:lang w:eastAsia="cs-CZ"/>
        </w:rPr>
        <w:t>url</w:t>
      </w:r>
      <w:proofErr w:type="spellEnd"/>
      <w:r>
        <w:rPr>
          <w:lang w:eastAsia="cs-CZ"/>
        </w:rPr>
        <w:t xml:space="preserve"> adresy.</w:t>
      </w:r>
    </w:p>
    <w:p w:rsidR="00817BA2" w:rsidRDefault="00817BA2" w:rsidP="00817BA2">
      <w:pPr>
        <w:ind w:left="336"/>
        <w:jc w:val="both"/>
        <w:rPr>
          <w:lang w:eastAsia="cs-CZ"/>
        </w:rPr>
      </w:pPr>
      <w:r>
        <w:rPr>
          <w:lang w:eastAsia="cs-CZ"/>
        </w:rPr>
        <w:t xml:space="preserve">Předpokládá se, že uchazeč zvládne po přípravě přesun za jeden víkend. Uživatelům bude výpadek nahlášen předem jako plánovaný výpadek s tím, že po skončení víkendu budou moci dále plnohodnotně s aplikací pracovat. Původní </w:t>
      </w:r>
      <w:proofErr w:type="spellStart"/>
      <w:r>
        <w:rPr>
          <w:lang w:eastAsia="cs-CZ"/>
        </w:rPr>
        <w:t>url</w:t>
      </w:r>
      <w:proofErr w:type="spellEnd"/>
      <w:r>
        <w:rPr>
          <w:lang w:eastAsia="cs-CZ"/>
        </w:rPr>
        <w:t xml:space="preserve"> adresy budou na straně Středočeského kraje přesměrovány na nové.</w:t>
      </w:r>
    </w:p>
    <w:p w:rsidR="00817BA2" w:rsidRDefault="00817BA2" w:rsidP="00817BA2">
      <w:pPr>
        <w:pStyle w:val="Odstavecseseznamem"/>
        <w:numPr>
          <w:ilvl w:val="0"/>
          <w:numId w:val="4"/>
        </w:numPr>
        <w:ind w:left="336"/>
        <w:rPr>
          <w:lang w:eastAsia="cs-CZ"/>
        </w:rPr>
      </w:pPr>
      <w:r>
        <w:rPr>
          <w:lang w:eastAsia="cs-CZ"/>
        </w:rPr>
        <w:t xml:space="preserve">Implementace </w:t>
      </w:r>
      <w:r w:rsidR="007E1CD2">
        <w:rPr>
          <w:lang w:eastAsia="cs-CZ"/>
        </w:rPr>
        <w:t xml:space="preserve">jednotné </w:t>
      </w:r>
      <w:r>
        <w:rPr>
          <w:lang w:eastAsia="cs-CZ"/>
        </w:rPr>
        <w:t>metodiky řídící kontroly a elektronického schvalování všech dokladů řídící kontroly</w:t>
      </w:r>
    </w:p>
    <w:p w:rsidR="00817BA2" w:rsidRDefault="00603266" w:rsidP="00817BA2">
      <w:pPr>
        <w:ind w:left="336"/>
        <w:jc w:val="both"/>
        <w:rPr>
          <w:lang w:eastAsia="cs-CZ"/>
        </w:rPr>
      </w:pPr>
      <w:r>
        <w:rPr>
          <w:lang w:eastAsia="cs-CZ"/>
        </w:rPr>
        <w:t>Příspěvkové organizace zřízené Středočeským krajem byly rozděleny do čtyř skupin podle kritéria počtu osob, které řídící kontrolu vykonávají. Toto rozdělení je součástí přílohy č. 9 zadávací dokumentace. Tato veřejná zakázka se týká jen organizací velikosti mikro, malé a střední. Zadavatel během realizace zakázky bude postupně dodávat seznam PO, u kterých bude dodavatel implementaci provádět.</w:t>
      </w:r>
      <w:r w:rsidR="00C2027D">
        <w:rPr>
          <w:lang w:eastAsia="cs-CZ"/>
        </w:rPr>
        <w:t xml:space="preserve"> Před zahájením implementace prověří, zda nedošlo ke změně velikosti PO.</w:t>
      </w:r>
      <w:r>
        <w:rPr>
          <w:lang w:eastAsia="cs-CZ"/>
        </w:rPr>
        <w:t xml:space="preserve"> Po dokončení (akceptaci) požadovaných implementací dodá zadavatel nový seznam.</w:t>
      </w:r>
      <w:r w:rsidR="00C2027D">
        <w:rPr>
          <w:lang w:eastAsia="cs-CZ"/>
        </w:rPr>
        <w:t xml:space="preserve"> Jednotná metodika</w:t>
      </w:r>
      <w:r>
        <w:rPr>
          <w:lang w:eastAsia="cs-CZ"/>
        </w:rPr>
        <w:t xml:space="preserve"> řídící kontroly bude postupně implementována až na </w:t>
      </w:r>
      <w:proofErr w:type="gramStart"/>
      <w:r>
        <w:rPr>
          <w:lang w:eastAsia="cs-CZ"/>
        </w:rPr>
        <w:t>150-ti</w:t>
      </w:r>
      <w:proofErr w:type="gramEnd"/>
      <w:r>
        <w:rPr>
          <w:lang w:eastAsia="cs-CZ"/>
        </w:rPr>
        <w:t xml:space="preserve"> organizacích ze seznamu.</w:t>
      </w:r>
    </w:p>
    <w:p w:rsidR="00C2027D" w:rsidRDefault="00C2027D" w:rsidP="00817BA2">
      <w:pPr>
        <w:ind w:left="336"/>
        <w:jc w:val="both"/>
        <w:rPr>
          <w:lang w:eastAsia="cs-CZ"/>
        </w:rPr>
      </w:pPr>
      <w:r>
        <w:rPr>
          <w:lang w:eastAsia="cs-CZ"/>
        </w:rPr>
        <w:t xml:space="preserve">Implementace </w:t>
      </w:r>
      <w:r w:rsidR="00C80A7A">
        <w:rPr>
          <w:lang w:eastAsia="cs-CZ"/>
        </w:rPr>
        <w:t xml:space="preserve">na každé PO </w:t>
      </w:r>
      <w:r>
        <w:rPr>
          <w:lang w:eastAsia="cs-CZ"/>
        </w:rPr>
        <w:t>se skládá ze dvou částí</w:t>
      </w:r>
    </w:p>
    <w:p w:rsidR="00C2027D" w:rsidRDefault="00C2027D" w:rsidP="00C2027D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>Metodická část</w:t>
      </w:r>
    </w:p>
    <w:p w:rsidR="00C80A7A" w:rsidRDefault="00C80A7A" w:rsidP="00C80A7A">
      <w:pPr>
        <w:pStyle w:val="Odstavecseseznamem"/>
        <w:ind w:left="1056"/>
        <w:jc w:val="both"/>
        <w:rPr>
          <w:lang w:eastAsia="cs-CZ"/>
        </w:rPr>
      </w:pPr>
      <w:r>
        <w:rPr>
          <w:lang w:eastAsia="cs-CZ"/>
        </w:rPr>
        <w:t>Vnitřní směrnice s přílohou seznamu osob a rolí pro danou PO, která řeší veškerou problematiku řídící kontroly včetně situací, kdy dojde k výpadku elektronického schvalování z důvodu poruchy</w:t>
      </w:r>
    </w:p>
    <w:p w:rsidR="00C2027D" w:rsidRDefault="00C2027D" w:rsidP="00C2027D">
      <w:pPr>
        <w:pStyle w:val="Odstavecseseznamem"/>
        <w:numPr>
          <w:ilvl w:val="0"/>
          <w:numId w:val="5"/>
        </w:numPr>
        <w:jc w:val="both"/>
        <w:rPr>
          <w:lang w:eastAsia="cs-CZ"/>
        </w:rPr>
      </w:pPr>
      <w:r>
        <w:rPr>
          <w:lang w:eastAsia="cs-CZ"/>
        </w:rPr>
        <w:t>Zprovoznění elektronického schvalování všech dokladů</w:t>
      </w:r>
      <w:r w:rsidR="00C80A7A">
        <w:rPr>
          <w:lang w:eastAsia="cs-CZ"/>
        </w:rPr>
        <w:t xml:space="preserve"> řídící kontroly v IS </w:t>
      </w:r>
      <w:proofErr w:type="spellStart"/>
      <w:r w:rsidR="00C80A7A">
        <w:rPr>
          <w:lang w:eastAsia="cs-CZ"/>
        </w:rPr>
        <w:t>Croseus</w:t>
      </w:r>
      <w:proofErr w:type="spellEnd"/>
      <w:r w:rsidR="00C80A7A">
        <w:rPr>
          <w:lang w:eastAsia="cs-CZ"/>
        </w:rPr>
        <w:t xml:space="preserve"> </w:t>
      </w:r>
      <w:proofErr w:type="spellStart"/>
      <w:r w:rsidR="00C80A7A">
        <w:rPr>
          <w:lang w:eastAsia="cs-CZ"/>
        </w:rPr>
        <w:t>Cloud</w:t>
      </w:r>
      <w:proofErr w:type="spellEnd"/>
    </w:p>
    <w:p w:rsidR="00EA4DE2" w:rsidRPr="001B6CF2" w:rsidRDefault="00EA4DE2" w:rsidP="00EA4DE2">
      <w:pPr>
        <w:ind w:left="336"/>
        <w:jc w:val="both"/>
        <w:rPr>
          <w:highlight w:val="green"/>
          <w:lang w:eastAsia="cs-CZ"/>
        </w:rPr>
      </w:pPr>
      <w:r w:rsidRPr="001B6CF2">
        <w:rPr>
          <w:highlight w:val="green"/>
          <w:lang w:eastAsia="cs-CZ"/>
        </w:rPr>
        <w:t>Vlastní implementací se rozumí zejména</w:t>
      </w:r>
    </w:p>
    <w:p w:rsidR="00EA4DE2" w:rsidRPr="001B6CF2" w:rsidRDefault="00EA4DE2" w:rsidP="00EA4DE2">
      <w:pPr>
        <w:pStyle w:val="Odstavecseseznamem"/>
        <w:numPr>
          <w:ilvl w:val="0"/>
          <w:numId w:val="7"/>
        </w:numPr>
        <w:jc w:val="both"/>
        <w:rPr>
          <w:highlight w:val="green"/>
          <w:lang w:eastAsia="cs-CZ"/>
        </w:rPr>
      </w:pPr>
      <w:r w:rsidRPr="001B6CF2">
        <w:rPr>
          <w:highlight w:val="green"/>
          <w:lang w:eastAsia="cs-CZ"/>
        </w:rPr>
        <w:t>identifikace stávajících dokumentů neelektronické řídící kontroly v každé PO</w:t>
      </w:r>
    </w:p>
    <w:p w:rsidR="00EA4DE2" w:rsidRPr="001B6CF2" w:rsidRDefault="005E3126" w:rsidP="00EA4DE2">
      <w:pPr>
        <w:pStyle w:val="Odstavecseseznamem"/>
        <w:numPr>
          <w:ilvl w:val="0"/>
          <w:numId w:val="7"/>
        </w:numPr>
        <w:jc w:val="both"/>
        <w:rPr>
          <w:highlight w:val="green"/>
          <w:lang w:eastAsia="cs-CZ"/>
        </w:rPr>
      </w:pPr>
      <w:r>
        <w:rPr>
          <w:highlight w:val="green"/>
          <w:lang w:eastAsia="cs-CZ"/>
        </w:rPr>
        <w:t>analýza procesů vztahujících</w:t>
      </w:r>
      <w:bookmarkStart w:id="0" w:name="_GoBack"/>
      <w:bookmarkEnd w:id="0"/>
      <w:r w:rsidR="00EA4DE2" w:rsidRPr="001B6CF2">
        <w:rPr>
          <w:highlight w:val="green"/>
          <w:lang w:eastAsia="cs-CZ"/>
        </w:rPr>
        <w:t xml:space="preserve"> se ke každému typu dokumentu (pro různé dokumenty mohou být různé procesy)</w:t>
      </w:r>
    </w:p>
    <w:p w:rsidR="00EA4DE2" w:rsidRPr="001B6CF2" w:rsidRDefault="00EA4DE2" w:rsidP="00EA4DE2">
      <w:pPr>
        <w:pStyle w:val="Odstavecseseznamem"/>
        <w:numPr>
          <w:ilvl w:val="0"/>
          <w:numId w:val="7"/>
        </w:numPr>
        <w:jc w:val="both"/>
        <w:rPr>
          <w:highlight w:val="green"/>
          <w:lang w:eastAsia="cs-CZ"/>
        </w:rPr>
      </w:pPr>
      <w:r w:rsidRPr="001B6CF2">
        <w:rPr>
          <w:highlight w:val="green"/>
          <w:lang w:eastAsia="cs-CZ"/>
        </w:rPr>
        <w:t>optimalizace procesů pro překlopení do elektronické řídící kontroly</w:t>
      </w:r>
    </w:p>
    <w:p w:rsidR="00EA4DE2" w:rsidRPr="001B6CF2" w:rsidRDefault="00EA4DE2" w:rsidP="00EA4DE2">
      <w:pPr>
        <w:pStyle w:val="Odstavecseseznamem"/>
        <w:numPr>
          <w:ilvl w:val="0"/>
          <w:numId w:val="7"/>
        </w:numPr>
        <w:jc w:val="both"/>
        <w:rPr>
          <w:highlight w:val="green"/>
          <w:lang w:eastAsia="cs-CZ"/>
        </w:rPr>
      </w:pPr>
      <w:r w:rsidRPr="001B6CF2">
        <w:rPr>
          <w:highlight w:val="green"/>
          <w:lang w:eastAsia="cs-CZ"/>
        </w:rPr>
        <w:t xml:space="preserve">zprovoznění elektronické řídící kontroly v IS </w:t>
      </w:r>
      <w:proofErr w:type="spellStart"/>
      <w:r w:rsidRPr="001B6CF2">
        <w:rPr>
          <w:highlight w:val="green"/>
          <w:lang w:eastAsia="cs-CZ"/>
        </w:rPr>
        <w:t>Croseus</w:t>
      </w:r>
      <w:proofErr w:type="spellEnd"/>
      <w:r w:rsidRPr="001B6CF2">
        <w:rPr>
          <w:highlight w:val="green"/>
          <w:lang w:eastAsia="cs-CZ"/>
        </w:rPr>
        <w:t xml:space="preserve"> </w:t>
      </w:r>
      <w:proofErr w:type="spellStart"/>
      <w:r w:rsidRPr="001B6CF2">
        <w:rPr>
          <w:highlight w:val="green"/>
          <w:lang w:eastAsia="cs-CZ"/>
        </w:rPr>
        <w:t>Cloud</w:t>
      </w:r>
      <w:proofErr w:type="spellEnd"/>
      <w:r w:rsidRPr="001B6CF2">
        <w:rPr>
          <w:highlight w:val="green"/>
          <w:lang w:eastAsia="cs-CZ"/>
        </w:rPr>
        <w:t xml:space="preserve"> pro každý typ dokumentu</w:t>
      </w:r>
    </w:p>
    <w:p w:rsidR="00EA4DE2" w:rsidRPr="001B6CF2" w:rsidRDefault="00EA4DE2" w:rsidP="00EA4DE2">
      <w:pPr>
        <w:pStyle w:val="Odstavecseseznamem"/>
        <w:numPr>
          <w:ilvl w:val="0"/>
          <w:numId w:val="7"/>
        </w:numPr>
        <w:jc w:val="both"/>
        <w:rPr>
          <w:highlight w:val="green"/>
          <w:lang w:eastAsia="cs-CZ"/>
        </w:rPr>
      </w:pPr>
      <w:r w:rsidRPr="001B6CF2">
        <w:rPr>
          <w:highlight w:val="green"/>
          <w:lang w:eastAsia="cs-CZ"/>
        </w:rPr>
        <w:t>otestování funkčnosti nastavení</w:t>
      </w:r>
    </w:p>
    <w:p w:rsidR="00EA4DE2" w:rsidRDefault="00EA4DE2" w:rsidP="00EA4DE2">
      <w:pPr>
        <w:pStyle w:val="Odstavecseseznamem"/>
        <w:numPr>
          <w:ilvl w:val="0"/>
          <w:numId w:val="7"/>
        </w:numPr>
        <w:jc w:val="both"/>
        <w:rPr>
          <w:highlight w:val="green"/>
          <w:lang w:eastAsia="cs-CZ"/>
        </w:rPr>
      </w:pPr>
      <w:r w:rsidRPr="001B6CF2">
        <w:rPr>
          <w:highlight w:val="green"/>
          <w:lang w:eastAsia="cs-CZ"/>
        </w:rPr>
        <w:t>uvedení do rutinního provozu</w:t>
      </w:r>
      <w:r w:rsidR="00E23F30" w:rsidRPr="001B6CF2">
        <w:rPr>
          <w:highlight w:val="green"/>
          <w:lang w:eastAsia="cs-CZ"/>
        </w:rPr>
        <w:t xml:space="preserve"> a nastavení podpory</w:t>
      </w:r>
    </w:p>
    <w:p w:rsidR="00476A00" w:rsidRDefault="00476A00">
      <w:pPr>
        <w:rPr>
          <w:highlight w:val="green"/>
          <w:lang w:eastAsia="cs-CZ"/>
        </w:rPr>
      </w:pPr>
      <w:r>
        <w:rPr>
          <w:highlight w:val="green"/>
          <w:lang w:eastAsia="cs-CZ"/>
        </w:rPr>
        <w:br w:type="page"/>
      </w:r>
    </w:p>
    <w:p w:rsidR="00476A00" w:rsidRDefault="00476A00" w:rsidP="00476A00">
      <w:pPr>
        <w:jc w:val="both"/>
        <w:rPr>
          <w:highlight w:val="green"/>
          <w:lang w:eastAsia="cs-CZ"/>
        </w:rPr>
      </w:pPr>
    </w:p>
    <w:p w:rsidR="00476A00" w:rsidRPr="00476A00" w:rsidRDefault="00476A00" w:rsidP="00476A00">
      <w:pPr>
        <w:pStyle w:val="Bezmezer"/>
        <w:spacing w:after="240" w:line="276" w:lineRule="auto"/>
        <w:ind w:left="426"/>
        <w:rPr>
          <w:rFonts w:asciiTheme="minorHAnsi" w:hAnsiTheme="minorHAnsi" w:cstheme="minorHAnsi"/>
          <w:noProof/>
          <w:color w:val="auto"/>
          <w:sz w:val="22"/>
          <w:szCs w:val="22"/>
          <w:highlight w:val="green"/>
          <w:u w:val="single"/>
          <w:lang w:val="cs-CZ"/>
        </w:rPr>
      </w:pPr>
      <w:r w:rsidRPr="00476A00">
        <w:rPr>
          <w:rFonts w:asciiTheme="minorHAnsi" w:hAnsiTheme="minorHAnsi" w:cstheme="minorHAnsi"/>
          <w:noProof/>
          <w:color w:val="auto"/>
          <w:sz w:val="22"/>
          <w:szCs w:val="22"/>
          <w:highlight w:val="green"/>
          <w:u w:val="single"/>
          <w:lang w:val="cs-CZ"/>
        </w:rPr>
        <w:t>Implementace dle typu organizace zahrnuje tyto činnosti:</w:t>
      </w:r>
    </w:p>
    <w:tbl>
      <w:tblPr>
        <w:tblStyle w:val="Mkatabulky"/>
        <w:tblW w:w="7668" w:type="dxa"/>
        <w:tblInd w:w="421" w:type="dxa"/>
        <w:tblLook w:val="04A0" w:firstRow="1" w:lastRow="0" w:firstColumn="1" w:lastColumn="0" w:noHBand="0" w:noVBand="1"/>
      </w:tblPr>
      <w:tblGrid>
        <w:gridCol w:w="565"/>
        <w:gridCol w:w="4509"/>
        <w:gridCol w:w="876"/>
        <w:gridCol w:w="842"/>
        <w:gridCol w:w="876"/>
      </w:tblGrid>
      <w:tr w:rsidR="00476A00" w:rsidRPr="00476A00" w:rsidTr="00476A00">
        <w:tc>
          <w:tcPr>
            <w:tcW w:w="565" w:type="dxa"/>
            <w:shd w:val="clear" w:color="auto" w:fill="F2F2F2" w:themeFill="background1" w:themeFillShade="F2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  <w:t>Pol.</w:t>
            </w:r>
          </w:p>
        </w:tc>
        <w:tc>
          <w:tcPr>
            <w:tcW w:w="4509" w:type="dxa"/>
            <w:shd w:val="clear" w:color="auto" w:fill="F2F2F2" w:themeFill="background1" w:themeFillShade="F2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  <w:t>Činnost</w:t>
            </w:r>
          </w:p>
        </w:tc>
        <w:tc>
          <w:tcPr>
            <w:tcW w:w="876" w:type="dxa"/>
            <w:shd w:val="clear" w:color="auto" w:fill="F2F2F2" w:themeFill="background1" w:themeFillShade="F2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  <w:t>Mikro</w:t>
            </w:r>
          </w:p>
        </w:tc>
        <w:tc>
          <w:tcPr>
            <w:tcW w:w="842" w:type="dxa"/>
            <w:shd w:val="clear" w:color="auto" w:fill="F2F2F2" w:themeFill="background1" w:themeFillShade="F2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  <w:t>Malá</w:t>
            </w:r>
          </w:p>
        </w:tc>
        <w:tc>
          <w:tcPr>
            <w:tcW w:w="876" w:type="dxa"/>
            <w:shd w:val="clear" w:color="auto" w:fill="F2F2F2" w:themeFill="background1" w:themeFillShade="F2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b/>
                <w:bCs/>
                <w:noProof/>
                <w:color w:val="auto"/>
                <w:sz w:val="22"/>
                <w:szCs w:val="22"/>
                <w:highlight w:val="green"/>
                <w:lang w:val="cs-CZ"/>
              </w:rPr>
              <w:t>Střední</w:t>
            </w:r>
          </w:p>
        </w:tc>
      </w:tr>
      <w:tr w:rsidR="00476A00" w:rsidRPr="00476A00" w:rsidTr="00476A00">
        <w:tc>
          <w:tcPr>
            <w:tcW w:w="565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1.</w:t>
            </w:r>
          </w:p>
        </w:tc>
        <w:tc>
          <w:tcPr>
            <w:tcW w:w="4509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Zahájení implementace s vedoucím orgánu veřejné správy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  <w:tc>
          <w:tcPr>
            <w:tcW w:w="842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</w:tr>
      <w:tr w:rsidR="00476A00" w:rsidRPr="00476A00" w:rsidTr="00476A00">
        <w:tc>
          <w:tcPr>
            <w:tcW w:w="565" w:type="dxa"/>
          </w:tcPr>
          <w:p w:rsidR="00476A00" w:rsidRPr="00476A00" w:rsidRDefault="00476A00" w:rsidP="00476A00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2.</w:t>
            </w:r>
          </w:p>
        </w:tc>
        <w:tc>
          <w:tcPr>
            <w:tcW w:w="4509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 xml:space="preserve">Analýza současného stavu dle dodané řídící dokumentace 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-</w:t>
            </w:r>
          </w:p>
        </w:tc>
        <w:tc>
          <w:tcPr>
            <w:tcW w:w="842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-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</w:tr>
      <w:tr w:rsidR="00476A00" w:rsidRPr="00476A00" w:rsidTr="00476A00">
        <w:tc>
          <w:tcPr>
            <w:tcW w:w="565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 xml:space="preserve">3. </w:t>
            </w:r>
          </w:p>
        </w:tc>
        <w:tc>
          <w:tcPr>
            <w:tcW w:w="4509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Procesní analýza a optimalizace činností formou řízených rozhovorů (implementační dotazník)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-</w:t>
            </w:r>
          </w:p>
        </w:tc>
        <w:tc>
          <w:tcPr>
            <w:tcW w:w="842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</w:tr>
      <w:tr w:rsidR="00476A00" w:rsidRPr="00476A00" w:rsidTr="00476A00">
        <w:tc>
          <w:tcPr>
            <w:tcW w:w="565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 xml:space="preserve">4. </w:t>
            </w:r>
          </w:p>
        </w:tc>
        <w:tc>
          <w:tcPr>
            <w:tcW w:w="4509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Vytvoření směrnice k nastavení vnitřního kontrolního systému a vyplnění implementačního dotazníku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  <w:tc>
          <w:tcPr>
            <w:tcW w:w="842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</w:tr>
      <w:tr w:rsidR="00476A00" w:rsidRPr="00476A00" w:rsidTr="00476A00">
        <w:tc>
          <w:tcPr>
            <w:tcW w:w="565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 xml:space="preserve">5. </w:t>
            </w:r>
          </w:p>
        </w:tc>
        <w:tc>
          <w:tcPr>
            <w:tcW w:w="4509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Konfigurace modulů na míru organizace dle odsouhlaseného implementačního dotazníku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  <w:tc>
          <w:tcPr>
            <w:tcW w:w="842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</w:tr>
      <w:tr w:rsidR="00476A00" w:rsidRPr="00476A00" w:rsidTr="00476A00">
        <w:tc>
          <w:tcPr>
            <w:tcW w:w="565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 xml:space="preserve">6. </w:t>
            </w:r>
          </w:p>
        </w:tc>
        <w:tc>
          <w:tcPr>
            <w:tcW w:w="4509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Školení uživatelů aplikace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  <w:tc>
          <w:tcPr>
            <w:tcW w:w="842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</w:tr>
      <w:tr w:rsidR="00476A00" w:rsidRPr="00C20903" w:rsidTr="00476A00">
        <w:tc>
          <w:tcPr>
            <w:tcW w:w="565" w:type="dxa"/>
          </w:tcPr>
          <w:p w:rsidR="00476A00" w:rsidRPr="00476A00" w:rsidRDefault="00476A00" w:rsidP="00476A00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 xml:space="preserve">7. </w:t>
            </w:r>
          </w:p>
        </w:tc>
        <w:tc>
          <w:tcPr>
            <w:tcW w:w="4509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Školení klíčových uživatelů aplikace</w:t>
            </w:r>
          </w:p>
        </w:tc>
        <w:tc>
          <w:tcPr>
            <w:tcW w:w="876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-</w:t>
            </w:r>
          </w:p>
        </w:tc>
        <w:tc>
          <w:tcPr>
            <w:tcW w:w="842" w:type="dxa"/>
          </w:tcPr>
          <w:p w:rsidR="00476A00" w:rsidRPr="00476A00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-</w:t>
            </w:r>
          </w:p>
        </w:tc>
        <w:tc>
          <w:tcPr>
            <w:tcW w:w="876" w:type="dxa"/>
          </w:tcPr>
          <w:p w:rsidR="00476A00" w:rsidRPr="00C20903" w:rsidRDefault="00476A00" w:rsidP="008F3C8C">
            <w:pPr>
              <w:pStyle w:val="Bezmezer"/>
              <w:spacing w:after="240" w:line="276" w:lineRule="auto"/>
              <w:jc w:val="center"/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lang w:val="cs-CZ"/>
              </w:rPr>
            </w:pPr>
            <w:r w:rsidRPr="00476A00">
              <w:rPr>
                <w:rFonts w:asciiTheme="minorHAnsi" w:hAnsiTheme="minorHAnsi" w:cstheme="minorHAnsi"/>
                <w:noProof/>
                <w:color w:val="auto"/>
                <w:sz w:val="22"/>
                <w:szCs w:val="22"/>
                <w:highlight w:val="green"/>
                <w:lang w:val="cs-CZ"/>
              </w:rPr>
              <w:t>x</w:t>
            </w:r>
          </w:p>
        </w:tc>
      </w:tr>
    </w:tbl>
    <w:p w:rsidR="00476A00" w:rsidRDefault="00476A00" w:rsidP="00817BA2">
      <w:pPr>
        <w:ind w:left="336"/>
        <w:jc w:val="both"/>
        <w:rPr>
          <w:lang w:eastAsia="cs-CZ"/>
        </w:rPr>
      </w:pPr>
    </w:p>
    <w:p w:rsidR="00603266" w:rsidRDefault="00603266" w:rsidP="00817BA2">
      <w:pPr>
        <w:ind w:left="336"/>
        <w:jc w:val="both"/>
        <w:rPr>
          <w:lang w:eastAsia="cs-CZ"/>
        </w:rPr>
      </w:pPr>
      <w:r>
        <w:rPr>
          <w:lang w:eastAsia="cs-CZ"/>
        </w:rPr>
        <w:t xml:space="preserve">Pro stanovení nabídkové ceny zadavatel požaduje </w:t>
      </w:r>
      <w:proofErr w:type="spellStart"/>
      <w:r>
        <w:rPr>
          <w:lang w:eastAsia="cs-CZ"/>
        </w:rPr>
        <w:t>nacenit</w:t>
      </w:r>
      <w:proofErr w:type="spellEnd"/>
      <w:r>
        <w:rPr>
          <w:lang w:eastAsia="cs-CZ"/>
        </w:rPr>
        <w:t xml:space="preserve"> vzorovou (a jednotnou) implementaci pro každý typ organizace – tedy jednotková cena z</w:t>
      </w:r>
      <w:r w:rsidR="007E1CD2">
        <w:rPr>
          <w:lang w:eastAsia="cs-CZ"/>
        </w:rPr>
        <w:t>a</w:t>
      </w:r>
      <w:r>
        <w:rPr>
          <w:lang w:eastAsia="cs-CZ"/>
        </w:rPr>
        <w:t> implementaci pro mikro, malou i střední. Z </w:t>
      </w:r>
      <w:proofErr w:type="spellStart"/>
      <w:r>
        <w:rPr>
          <w:lang w:eastAsia="cs-CZ"/>
        </w:rPr>
        <w:t>nacenění</w:t>
      </w:r>
      <w:proofErr w:type="spellEnd"/>
      <w:r>
        <w:rPr>
          <w:lang w:eastAsia="cs-CZ"/>
        </w:rPr>
        <w:t xml:space="preserve"> bude zadavatel dále vycházet při</w:t>
      </w:r>
      <w:r w:rsidR="007E1CD2">
        <w:rPr>
          <w:lang w:eastAsia="cs-CZ"/>
        </w:rPr>
        <w:t xml:space="preserve"> postupném</w:t>
      </w:r>
      <w:r>
        <w:rPr>
          <w:lang w:eastAsia="cs-CZ"/>
        </w:rPr>
        <w:t xml:space="preserve"> objednávání implementací, jak je popsáno v předešlém odstavci.</w:t>
      </w:r>
      <w:r w:rsidR="007E1CD2">
        <w:rPr>
          <w:lang w:eastAsia="cs-CZ"/>
        </w:rPr>
        <w:t xml:space="preserve"> Implementaci považuje zadavatel za jednorázový proces ukončený akceptačním protokolem. Po akceptaci budou následovat další služby provozu a údržby naimplementovaného řešení. Zadavatel nemusí objednat implementaci pro všech 150 PO. V takovém případě dodavatel garantuje provoz</w:t>
      </w:r>
      <w:r w:rsidR="00C2027D">
        <w:rPr>
          <w:lang w:eastAsia="cs-CZ"/>
        </w:rPr>
        <w:t xml:space="preserve"> již naimplementovaných řešení po dobu dalšího trvání smlouvy (smlouva bude uzavírána na dobu neurčitou).</w:t>
      </w:r>
    </w:p>
    <w:p w:rsidR="007E1CD2" w:rsidRDefault="007E1CD2" w:rsidP="00817BA2">
      <w:pPr>
        <w:ind w:left="336"/>
        <w:jc w:val="both"/>
        <w:rPr>
          <w:lang w:eastAsia="cs-CZ"/>
        </w:rPr>
      </w:pPr>
      <w:r>
        <w:rPr>
          <w:lang w:eastAsia="cs-CZ"/>
        </w:rPr>
        <w:t>Provoz řešení předpokládáme v datovém úložišti, které bude plně spravovat dodavatel, který zabezpečí všechny běžné služby spojené s provozem datového úložiště:</w:t>
      </w:r>
    </w:p>
    <w:p w:rsidR="007E1CD2" w:rsidRDefault="007E1CD2" w:rsidP="007E1CD2">
      <w:pPr>
        <w:ind w:left="336"/>
        <w:jc w:val="both"/>
        <w:rPr>
          <w:lang w:eastAsia="cs-CZ"/>
        </w:rPr>
      </w:pPr>
      <w:r>
        <w:rPr>
          <w:lang w:eastAsia="cs-CZ"/>
        </w:rPr>
        <w:t>-</w:t>
      </w:r>
      <w:r>
        <w:rPr>
          <w:lang w:eastAsia="cs-CZ"/>
        </w:rPr>
        <w:tab/>
        <w:t>dostatečně velký diskový prostor, který pokryje veškeré nároky na ukládání dat z IS CROSEUS CLOUD a aplikace CES</w:t>
      </w:r>
    </w:p>
    <w:p w:rsidR="007E1CD2" w:rsidRDefault="007E1CD2" w:rsidP="007E1CD2">
      <w:pPr>
        <w:ind w:left="336"/>
        <w:jc w:val="both"/>
        <w:rPr>
          <w:lang w:eastAsia="cs-CZ"/>
        </w:rPr>
      </w:pPr>
      <w:r>
        <w:rPr>
          <w:lang w:eastAsia="cs-CZ"/>
        </w:rPr>
        <w:t>-</w:t>
      </w:r>
      <w:r>
        <w:rPr>
          <w:lang w:eastAsia="cs-CZ"/>
        </w:rPr>
        <w:tab/>
        <w:t>zálohování dat pro případ havárie</w:t>
      </w:r>
    </w:p>
    <w:p w:rsidR="007E1CD2" w:rsidRDefault="007E1CD2" w:rsidP="007E1CD2">
      <w:pPr>
        <w:ind w:left="336"/>
        <w:jc w:val="both"/>
        <w:rPr>
          <w:lang w:eastAsia="cs-CZ"/>
        </w:rPr>
      </w:pPr>
      <w:r>
        <w:rPr>
          <w:lang w:eastAsia="cs-CZ"/>
        </w:rPr>
        <w:t>-</w:t>
      </w:r>
      <w:r>
        <w:rPr>
          <w:lang w:eastAsia="cs-CZ"/>
        </w:rPr>
        <w:tab/>
        <w:t>obnova dat v případě havárie</w:t>
      </w:r>
    </w:p>
    <w:p w:rsidR="007E1CD2" w:rsidRDefault="007E1CD2" w:rsidP="007E1CD2">
      <w:pPr>
        <w:ind w:left="336"/>
        <w:jc w:val="both"/>
        <w:rPr>
          <w:lang w:eastAsia="cs-CZ"/>
        </w:rPr>
      </w:pPr>
      <w:r>
        <w:rPr>
          <w:lang w:eastAsia="cs-CZ"/>
        </w:rPr>
        <w:t>-</w:t>
      </w:r>
      <w:r>
        <w:rPr>
          <w:lang w:eastAsia="cs-CZ"/>
        </w:rPr>
        <w:tab/>
        <w:t>archivace dat</w:t>
      </w:r>
    </w:p>
    <w:p w:rsidR="007E1CD2" w:rsidRDefault="007E1CD2" w:rsidP="007E1CD2">
      <w:pPr>
        <w:ind w:left="336"/>
        <w:jc w:val="both"/>
        <w:rPr>
          <w:lang w:eastAsia="cs-CZ"/>
        </w:rPr>
      </w:pPr>
      <w:r>
        <w:rPr>
          <w:lang w:eastAsia="cs-CZ"/>
        </w:rPr>
        <w:t>Požadavky na dostupnost služeb (SLA) je v příloze č. 8 zadávací dokumentace.</w:t>
      </w:r>
    </w:p>
    <w:p w:rsidR="00603266" w:rsidRDefault="007C41B3" w:rsidP="007C41B3">
      <w:pPr>
        <w:pStyle w:val="Odstavecseseznamem"/>
        <w:numPr>
          <w:ilvl w:val="0"/>
          <w:numId w:val="4"/>
        </w:numPr>
        <w:ind w:left="336"/>
        <w:rPr>
          <w:lang w:eastAsia="cs-CZ"/>
        </w:rPr>
      </w:pPr>
      <w:r>
        <w:rPr>
          <w:lang w:eastAsia="cs-CZ"/>
        </w:rPr>
        <w:t xml:space="preserve">Zapůjčení a provoz licencí </w:t>
      </w:r>
      <w:proofErr w:type="spellStart"/>
      <w:r>
        <w:rPr>
          <w:lang w:eastAsia="cs-CZ"/>
        </w:rPr>
        <w:t>Croseus</w:t>
      </w:r>
      <w:proofErr w:type="spellEnd"/>
      <w:r>
        <w:rPr>
          <w:lang w:eastAsia="cs-CZ"/>
        </w:rPr>
        <w:t xml:space="preserve"> Monitoring</w:t>
      </w:r>
    </w:p>
    <w:p w:rsidR="007C41B3" w:rsidRDefault="007C41B3" w:rsidP="007C41B3">
      <w:pPr>
        <w:pStyle w:val="Odstavecseseznamem"/>
        <w:numPr>
          <w:ilvl w:val="0"/>
          <w:numId w:val="6"/>
        </w:numPr>
        <w:rPr>
          <w:lang w:eastAsia="cs-CZ"/>
        </w:rPr>
      </w:pPr>
      <w:r>
        <w:rPr>
          <w:lang w:eastAsia="cs-CZ"/>
        </w:rPr>
        <w:lastRenderedPageBreak/>
        <w:t>5 licencí pro zaměstnance kraje – verze Auditor</w:t>
      </w:r>
    </w:p>
    <w:p w:rsidR="007C41B3" w:rsidRDefault="007C41B3" w:rsidP="007C41B3">
      <w:pPr>
        <w:pStyle w:val="Odstavecseseznamem"/>
        <w:numPr>
          <w:ilvl w:val="0"/>
          <w:numId w:val="6"/>
        </w:numPr>
        <w:rPr>
          <w:lang w:eastAsia="cs-CZ"/>
        </w:rPr>
      </w:pPr>
      <w:r>
        <w:rPr>
          <w:lang w:eastAsia="cs-CZ"/>
        </w:rPr>
        <w:t>licence pro sledování procesů v každé naimplementované organizaci</w:t>
      </w:r>
    </w:p>
    <w:p w:rsidR="00817BA2" w:rsidRDefault="00817BA2" w:rsidP="00817BA2">
      <w:pPr>
        <w:pStyle w:val="Odstavecseseznamem"/>
        <w:jc w:val="both"/>
        <w:rPr>
          <w:lang w:eastAsia="cs-CZ"/>
        </w:rPr>
      </w:pPr>
    </w:p>
    <w:p w:rsidR="00817BA2" w:rsidRPr="00817BA2" w:rsidRDefault="00817BA2" w:rsidP="00817BA2">
      <w:pPr>
        <w:rPr>
          <w:lang w:eastAsia="cs-CZ"/>
        </w:rPr>
      </w:pPr>
    </w:p>
    <w:sectPr w:rsidR="00817BA2" w:rsidRPr="00817BA2" w:rsidSect="00D61B41">
      <w:headerReference w:type="default" r:id="rId7"/>
      <w:pgSz w:w="11906" w:h="16838"/>
      <w:pgMar w:top="15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B41" w:rsidRDefault="00D61B41" w:rsidP="00D61B41">
      <w:pPr>
        <w:spacing w:after="0" w:line="240" w:lineRule="auto"/>
      </w:pPr>
      <w:r>
        <w:separator/>
      </w:r>
    </w:p>
  </w:endnote>
  <w:endnote w:type="continuationSeparator" w:id="0">
    <w:p w:rsidR="00D61B41" w:rsidRDefault="00D61B41" w:rsidP="00D6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B41" w:rsidRDefault="00D61B41" w:rsidP="00D61B41">
      <w:pPr>
        <w:spacing w:after="0" w:line="240" w:lineRule="auto"/>
      </w:pPr>
      <w:r>
        <w:separator/>
      </w:r>
    </w:p>
  </w:footnote>
  <w:footnote w:type="continuationSeparator" w:id="0">
    <w:p w:rsidR="00D61B41" w:rsidRDefault="00D61B41" w:rsidP="00D61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B41" w:rsidRDefault="00D61B41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525CBD7" wp14:editId="0609C92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847600" cy="5544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600" cy="55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E159D"/>
    <w:multiLevelType w:val="hybridMultilevel"/>
    <w:tmpl w:val="4A029A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42567"/>
    <w:multiLevelType w:val="multilevel"/>
    <w:tmpl w:val="C3DA007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050C9"/>
    <w:multiLevelType w:val="hybridMultilevel"/>
    <w:tmpl w:val="579A27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54489"/>
    <w:multiLevelType w:val="hybridMultilevel"/>
    <w:tmpl w:val="051C6216"/>
    <w:lvl w:ilvl="0" w:tplc="1C426812">
      <w:numFmt w:val="bullet"/>
      <w:lvlText w:val="-"/>
      <w:lvlJc w:val="left"/>
      <w:pPr>
        <w:ind w:left="696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4" w15:restartNumberingAfterBreak="0">
    <w:nsid w:val="6F125D68"/>
    <w:multiLevelType w:val="hybridMultilevel"/>
    <w:tmpl w:val="764A5382"/>
    <w:lvl w:ilvl="0" w:tplc="04050017">
      <w:start w:val="1"/>
      <w:numFmt w:val="lowerLetter"/>
      <w:lvlText w:val="%1)"/>
      <w:lvlJc w:val="left"/>
      <w:pPr>
        <w:ind w:left="1056" w:hanging="360"/>
      </w:pPr>
    </w:lvl>
    <w:lvl w:ilvl="1" w:tplc="04050019" w:tentative="1">
      <w:start w:val="1"/>
      <w:numFmt w:val="lowerLetter"/>
      <w:lvlText w:val="%2."/>
      <w:lvlJc w:val="left"/>
      <w:pPr>
        <w:ind w:left="1776" w:hanging="360"/>
      </w:pPr>
    </w:lvl>
    <w:lvl w:ilvl="2" w:tplc="0405001B" w:tentative="1">
      <w:start w:val="1"/>
      <w:numFmt w:val="lowerRoman"/>
      <w:lvlText w:val="%3."/>
      <w:lvlJc w:val="right"/>
      <w:pPr>
        <w:ind w:left="2496" w:hanging="180"/>
      </w:pPr>
    </w:lvl>
    <w:lvl w:ilvl="3" w:tplc="0405000F" w:tentative="1">
      <w:start w:val="1"/>
      <w:numFmt w:val="decimal"/>
      <w:lvlText w:val="%4."/>
      <w:lvlJc w:val="left"/>
      <w:pPr>
        <w:ind w:left="3216" w:hanging="360"/>
      </w:pPr>
    </w:lvl>
    <w:lvl w:ilvl="4" w:tplc="04050019" w:tentative="1">
      <w:start w:val="1"/>
      <w:numFmt w:val="lowerLetter"/>
      <w:lvlText w:val="%5."/>
      <w:lvlJc w:val="left"/>
      <w:pPr>
        <w:ind w:left="3936" w:hanging="360"/>
      </w:pPr>
    </w:lvl>
    <w:lvl w:ilvl="5" w:tplc="0405001B" w:tentative="1">
      <w:start w:val="1"/>
      <w:numFmt w:val="lowerRoman"/>
      <w:lvlText w:val="%6."/>
      <w:lvlJc w:val="right"/>
      <w:pPr>
        <w:ind w:left="4656" w:hanging="180"/>
      </w:pPr>
    </w:lvl>
    <w:lvl w:ilvl="6" w:tplc="0405000F" w:tentative="1">
      <w:start w:val="1"/>
      <w:numFmt w:val="decimal"/>
      <w:lvlText w:val="%7."/>
      <w:lvlJc w:val="left"/>
      <w:pPr>
        <w:ind w:left="5376" w:hanging="360"/>
      </w:pPr>
    </w:lvl>
    <w:lvl w:ilvl="7" w:tplc="04050019" w:tentative="1">
      <w:start w:val="1"/>
      <w:numFmt w:val="lowerLetter"/>
      <w:lvlText w:val="%8."/>
      <w:lvlJc w:val="left"/>
      <w:pPr>
        <w:ind w:left="6096" w:hanging="360"/>
      </w:pPr>
    </w:lvl>
    <w:lvl w:ilvl="8" w:tplc="040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6FC65E51"/>
    <w:multiLevelType w:val="multilevel"/>
    <w:tmpl w:val="C3DA007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theme="minorBid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2A39AF"/>
    <w:multiLevelType w:val="hybridMultilevel"/>
    <w:tmpl w:val="CB66C1F2"/>
    <w:lvl w:ilvl="0" w:tplc="771A969E">
      <w:start w:val="1"/>
      <w:numFmt w:val="lowerLetter"/>
      <w:lvlText w:val="%1)"/>
      <w:lvlJc w:val="left"/>
      <w:pPr>
        <w:ind w:left="6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16" w:hanging="360"/>
      </w:pPr>
    </w:lvl>
    <w:lvl w:ilvl="2" w:tplc="0405001B" w:tentative="1">
      <w:start w:val="1"/>
      <w:numFmt w:val="lowerRoman"/>
      <w:lvlText w:val="%3."/>
      <w:lvlJc w:val="right"/>
      <w:pPr>
        <w:ind w:left="2136" w:hanging="180"/>
      </w:pPr>
    </w:lvl>
    <w:lvl w:ilvl="3" w:tplc="0405000F" w:tentative="1">
      <w:start w:val="1"/>
      <w:numFmt w:val="decimal"/>
      <w:lvlText w:val="%4."/>
      <w:lvlJc w:val="left"/>
      <w:pPr>
        <w:ind w:left="2856" w:hanging="360"/>
      </w:pPr>
    </w:lvl>
    <w:lvl w:ilvl="4" w:tplc="04050019" w:tentative="1">
      <w:start w:val="1"/>
      <w:numFmt w:val="lowerLetter"/>
      <w:lvlText w:val="%5."/>
      <w:lvlJc w:val="left"/>
      <w:pPr>
        <w:ind w:left="3576" w:hanging="360"/>
      </w:pPr>
    </w:lvl>
    <w:lvl w:ilvl="5" w:tplc="0405001B" w:tentative="1">
      <w:start w:val="1"/>
      <w:numFmt w:val="lowerRoman"/>
      <w:lvlText w:val="%6."/>
      <w:lvlJc w:val="right"/>
      <w:pPr>
        <w:ind w:left="4296" w:hanging="180"/>
      </w:pPr>
    </w:lvl>
    <w:lvl w:ilvl="6" w:tplc="0405000F" w:tentative="1">
      <w:start w:val="1"/>
      <w:numFmt w:val="decimal"/>
      <w:lvlText w:val="%7."/>
      <w:lvlJc w:val="left"/>
      <w:pPr>
        <w:ind w:left="5016" w:hanging="360"/>
      </w:pPr>
    </w:lvl>
    <w:lvl w:ilvl="7" w:tplc="04050019" w:tentative="1">
      <w:start w:val="1"/>
      <w:numFmt w:val="lowerLetter"/>
      <w:lvlText w:val="%8."/>
      <w:lvlJc w:val="left"/>
      <w:pPr>
        <w:ind w:left="5736" w:hanging="360"/>
      </w:pPr>
    </w:lvl>
    <w:lvl w:ilvl="8" w:tplc="0405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91"/>
    <w:rsid w:val="001A18CD"/>
    <w:rsid w:val="001B6CF2"/>
    <w:rsid w:val="00476A00"/>
    <w:rsid w:val="005E3126"/>
    <w:rsid w:val="00603266"/>
    <w:rsid w:val="007C41B3"/>
    <w:rsid w:val="007E1CD2"/>
    <w:rsid w:val="00817BA2"/>
    <w:rsid w:val="00872E05"/>
    <w:rsid w:val="00C2027D"/>
    <w:rsid w:val="00C33F95"/>
    <w:rsid w:val="00C80A7A"/>
    <w:rsid w:val="00D61B41"/>
    <w:rsid w:val="00E23F30"/>
    <w:rsid w:val="00E47DF1"/>
    <w:rsid w:val="00E86875"/>
    <w:rsid w:val="00EA4DE2"/>
    <w:rsid w:val="00EF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3C3F252F-5469-4AB8-A603-CD42FB14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4C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F4C91"/>
    <w:pPr>
      <w:ind w:left="720"/>
      <w:contextualSpacing/>
    </w:pPr>
  </w:style>
  <w:style w:type="table" w:styleId="Svtlmkatabulky">
    <w:name w:val="Grid Table Light"/>
    <w:basedOn w:val="Normlntabulka"/>
    <w:uiPriority w:val="40"/>
    <w:rsid w:val="00EF4C9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D6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1B41"/>
  </w:style>
  <w:style w:type="paragraph" w:styleId="Zpat">
    <w:name w:val="footer"/>
    <w:basedOn w:val="Normln"/>
    <w:link w:val="ZpatChar"/>
    <w:uiPriority w:val="99"/>
    <w:unhideWhenUsed/>
    <w:rsid w:val="00D6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1B41"/>
  </w:style>
  <w:style w:type="table" w:styleId="Mkatabulky">
    <w:name w:val="Table Grid"/>
    <w:basedOn w:val="Normlntabulka"/>
    <w:uiPriority w:val="59"/>
    <w:rsid w:val="00476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476A00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620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Rokos Daniel</dc:creator>
  <cp:keywords/>
  <dc:description/>
  <cp:lastModifiedBy>Vogl Milan</cp:lastModifiedBy>
  <cp:revision>6</cp:revision>
  <dcterms:created xsi:type="dcterms:W3CDTF">2021-08-06T11:42:00Z</dcterms:created>
  <dcterms:modified xsi:type="dcterms:W3CDTF">2021-09-14T13:14:00Z</dcterms:modified>
</cp:coreProperties>
</file>