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40FA1" w:rsidRDefault="00740FA1" w:rsidP="003C6092">
                            <w:pPr>
                              <w:pStyle w:val="Default"/>
                              <w:rPr>
                                <w:sz w:val="18"/>
                                <w:szCs w:val="18"/>
                              </w:rPr>
                            </w:pPr>
                          </w:p>
                          <w:p w:rsidR="00740FA1" w:rsidRDefault="00740FA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740FA1" w:rsidRDefault="00740FA1" w:rsidP="003C6092">
                      <w:pPr>
                        <w:pStyle w:val="Default"/>
                        <w:rPr>
                          <w:sz w:val="18"/>
                          <w:szCs w:val="18"/>
                        </w:rPr>
                      </w:pPr>
                    </w:p>
                    <w:p w:rsidR="00740FA1" w:rsidRDefault="00740FA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366176">
        <w:t>Ing. Jan Lichtneger,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Default="003C6092" w:rsidP="003C6092">
      <w:pPr>
        <w:tabs>
          <w:tab w:val="left" w:pos="2835"/>
        </w:tabs>
        <w:spacing w:before="80"/>
        <w:ind w:left="709"/>
        <w:rPr>
          <w:sz w:val="22"/>
          <w:szCs w:val="22"/>
        </w:rPr>
      </w:pPr>
    </w:p>
    <w:p w:rsidR="00740FA1" w:rsidRDefault="00740FA1" w:rsidP="003C6092">
      <w:pPr>
        <w:tabs>
          <w:tab w:val="left" w:pos="2835"/>
        </w:tabs>
        <w:spacing w:before="80"/>
        <w:ind w:left="709"/>
        <w:rPr>
          <w:sz w:val="22"/>
          <w:szCs w:val="22"/>
        </w:rPr>
      </w:pPr>
      <w:r>
        <w:rPr>
          <w:sz w:val="22"/>
          <w:szCs w:val="22"/>
        </w:rPr>
        <w:t>a</w:t>
      </w:r>
    </w:p>
    <w:p w:rsidR="00740FA1" w:rsidRDefault="00740FA1" w:rsidP="003C6092">
      <w:pPr>
        <w:tabs>
          <w:tab w:val="left" w:pos="2835"/>
        </w:tabs>
        <w:spacing w:before="80"/>
        <w:ind w:left="709"/>
        <w:rPr>
          <w:sz w:val="22"/>
          <w:szCs w:val="22"/>
        </w:rPr>
      </w:pPr>
    </w:p>
    <w:p w:rsidR="00740FA1" w:rsidRPr="00740FA1" w:rsidRDefault="00740FA1" w:rsidP="00740FA1">
      <w:pPr>
        <w:tabs>
          <w:tab w:val="left" w:pos="2835"/>
        </w:tabs>
        <w:spacing w:before="80"/>
        <w:ind w:left="709"/>
        <w:rPr>
          <w:b/>
          <w:sz w:val="22"/>
          <w:szCs w:val="22"/>
        </w:rPr>
      </w:pPr>
      <w:r w:rsidRPr="00740FA1">
        <w:rPr>
          <w:b/>
          <w:sz w:val="22"/>
          <w:szCs w:val="22"/>
        </w:rPr>
        <w:t xml:space="preserve">Vodovody a kanalizace Mladá Boleslav, a.s. </w:t>
      </w:r>
    </w:p>
    <w:p w:rsidR="00740FA1" w:rsidRPr="00740FA1" w:rsidRDefault="00740FA1" w:rsidP="00740FA1">
      <w:pPr>
        <w:tabs>
          <w:tab w:val="left" w:pos="2835"/>
        </w:tabs>
        <w:spacing w:before="80"/>
        <w:ind w:left="709"/>
        <w:rPr>
          <w:sz w:val="22"/>
          <w:szCs w:val="22"/>
        </w:rPr>
      </w:pPr>
      <w:r w:rsidRPr="00740FA1">
        <w:rPr>
          <w:sz w:val="22"/>
          <w:szCs w:val="22"/>
        </w:rPr>
        <w:t xml:space="preserve">se sídlem Čechova 1151, 293 22 Mladá Boleslav </w:t>
      </w:r>
    </w:p>
    <w:p w:rsidR="00740FA1" w:rsidRPr="00740FA1" w:rsidRDefault="00740FA1" w:rsidP="00740FA1">
      <w:pPr>
        <w:tabs>
          <w:tab w:val="left" w:pos="2835"/>
        </w:tabs>
        <w:spacing w:before="80"/>
        <w:ind w:left="709"/>
        <w:rPr>
          <w:sz w:val="22"/>
          <w:szCs w:val="22"/>
        </w:rPr>
      </w:pPr>
      <w:r w:rsidRPr="00740FA1">
        <w:rPr>
          <w:sz w:val="22"/>
          <w:szCs w:val="22"/>
        </w:rPr>
        <w:t xml:space="preserve">zapsaná v obchodním rejstříku vedeném Městským soudem v Praze, </w:t>
      </w:r>
    </w:p>
    <w:p w:rsidR="00740FA1" w:rsidRPr="00740FA1" w:rsidRDefault="00740FA1" w:rsidP="00740FA1">
      <w:pPr>
        <w:tabs>
          <w:tab w:val="left" w:pos="2835"/>
        </w:tabs>
        <w:spacing w:before="80"/>
        <w:ind w:left="709"/>
        <w:rPr>
          <w:sz w:val="22"/>
          <w:szCs w:val="22"/>
        </w:rPr>
      </w:pPr>
      <w:r w:rsidRPr="00740FA1">
        <w:rPr>
          <w:sz w:val="22"/>
          <w:szCs w:val="22"/>
        </w:rPr>
        <w:t xml:space="preserve">oddíl B, vložka 2379, sp.zn. Firm. 40987/93 </w:t>
      </w:r>
    </w:p>
    <w:p w:rsidR="00740FA1" w:rsidRPr="00740FA1" w:rsidRDefault="00740FA1" w:rsidP="00740FA1">
      <w:pPr>
        <w:tabs>
          <w:tab w:val="left" w:pos="2835"/>
        </w:tabs>
        <w:spacing w:before="80"/>
        <w:ind w:left="709"/>
        <w:rPr>
          <w:sz w:val="22"/>
          <w:szCs w:val="22"/>
        </w:rPr>
      </w:pPr>
      <w:r w:rsidRPr="00740FA1">
        <w:rPr>
          <w:sz w:val="22"/>
          <w:szCs w:val="22"/>
        </w:rPr>
        <w:t xml:space="preserve">IČ: 46356983 </w:t>
      </w:r>
    </w:p>
    <w:p w:rsidR="00740FA1" w:rsidRDefault="00740FA1" w:rsidP="00740FA1">
      <w:pPr>
        <w:tabs>
          <w:tab w:val="left" w:pos="2835"/>
        </w:tabs>
        <w:spacing w:before="80"/>
        <w:ind w:left="709"/>
        <w:rPr>
          <w:sz w:val="22"/>
          <w:szCs w:val="22"/>
        </w:rPr>
      </w:pPr>
      <w:r w:rsidRPr="00740FA1">
        <w:rPr>
          <w:sz w:val="22"/>
          <w:szCs w:val="22"/>
        </w:rPr>
        <w:t xml:space="preserve">DIČ: CZ46356983 </w:t>
      </w:r>
    </w:p>
    <w:p w:rsidR="00376B6E" w:rsidRPr="00376B6E" w:rsidRDefault="00376B6E" w:rsidP="00376B6E">
      <w:pPr>
        <w:tabs>
          <w:tab w:val="left" w:pos="2835"/>
        </w:tabs>
        <w:spacing w:before="80"/>
        <w:ind w:left="709"/>
        <w:rPr>
          <w:sz w:val="22"/>
          <w:szCs w:val="22"/>
        </w:rPr>
      </w:pPr>
      <w:r w:rsidRPr="00376B6E">
        <w:rPr>
          <w:sz w:val="22"/>
          <w:szCs w:val="22"/>
        </w:rPr>
        <w:t>Bankovní spojení: č.ú. 1608 181/0100</w:t>
      </w:r>
    </w:p>
    <w:p w:rsidR="00740FA1" w:rsidRPr="00740FA1" w:rsidRDefault="00740FA1" w:rsidP="00740FA1">
      <w:pPr>
        <w:tabs>
          <w:tab w:val="left" w:pos="2835"/>
        </w:tabs>
        <w:spacing w:before="80"/>
        <w:ind w:left="709"/>
        <w:rPr>
          <w:sz w:val="22"/>
          <w:szCs w:val="22"/>
        </w:rPr>
      </w:pPr>
      <w:bookmarkStart w:id="0" w:name="_GoBack"/>
      <w:bookmarkEnd w:id="0"/>
      <w:r w:rsidRPr="00740FA1">
        <w:rPr>
          <w:sz w:val="22"/>
          <w:szCs w:val="22"/>
        </w:rPr>
        <w:t xml:space="preserve">zastoupená panem Ing. Vladimírem Stehlíkem, předsedou představenstva </w:t>
      </w:r>
    </w:p>
    <w:p w:rsidR="00740FA1" w:rsidRPr="00740FA1" w:rsidRDefault="00740FA1" w:rsidP="00740FA1">
      <w:pPr>
        <w:tabs>
          <w:tab w:val="left" w:pos="2835"/>
        </w:tabs>
        <w:spacing w:before="80"/>
        <w:ind w:left="709"/>
        <w:rPr>
          <w:sz w:val="22"/>
          <w:szCs w:val="22"/>
        </w:rPr>
      </w:pPr>
      <w:r w:rsidRPr="00740FA1">
        <w:rPr>
          <w:sz w:val="22"/>
          <w:szCs w:val="22"/>
        </w:rPr>
        <w:t xml:space="preserve">a panem Ing. Tomášem Žitným, členem představenstva </w:t>
      </w:r>
    </w:p>
    <w:p w:rsidR="00740FA1" w:rsidRDefault="00740FA1" w:rsidP="00740FA1">
      <w:pPr>
        <w:tabs>
          <w:tab w:val="left" w:pos="2835"/>
        </w:tabs>
        <w:spacing w:before="80"/>
        <w:ind w:left="709"/>
        <w:rPr>
          <w:sz w:val="22"/>
          <w:szCs w:val="22"/>
        </w:rPr>
      </w:pPr>
      <w:r w:rsidRPr="00740FA1">
        <w:rPr>
          <w:sz w:val="22"/>
          <w:szCs w:val="22"/>
        </w:rPr>
        <w:t xml:space="preserve"> (dále jen „VaK“)</w:t>
      </w:r>
    </w:p>
    <w:p w:rsidR="00740FA1" w:rsidRPr="0053678B" w:rsidRDefault="00740FA1" w:rsidP="003C6092">
      <w:pPr>
        <w:tabs>
          <w:tab w:val="left" w:pos="2835"/>
        </w:tabs>
        <w:spacing w:before="80"/>
        <w:ind w:left="709"/>
        <w:rPr>
          <w:sz w:val="22"/>
          <w:szCs w:val="22"/>
        </w:rPr>
      </w:pPr>
    </w:p>
    <w:p w:rsidR="00740FA1" w:rsidRPr="0053678B" w:rsidRDefault="003C6092" w:rsidP="003C6092">
      <w:pPr>
        <w:tabs>
          <w:tab w:val="clear" w:pos="284"/>
          <w:tab w:val="left" w:pos="709"/>
        </w:tabs>
        <w:spacing w:before="80"/>
        <w:rPr>
          <w:sz w:val="22"/>
          <w:szCs w:val="22"/>
        </w:rPr>
      </w:pPr>
      <w:r w:rsidRPr="0053678B">
        <w:rPr>
          <w:sz w:val="22"/>
          <w:szCs w:val="22"/>
        </w:rPr>
        <w:tab/>
      </w:r>
      <w:r w:rsidR="00740FA1">
        <w:rPr>
          <w:sz w:val="22"/>
          <w:szCs w:val="22"/>
        </w:rPr>
        <w:t xml:space="preserve">Společně </w:t>
      </w:r>
      <w:r w:rsidRPr="0053678B">
        <w:rPr>
          <w:sz w:val="22"/>
          <w:szCs w:val="22"/>
        </w:rPr>
        <w:t xml:space="preserve">dále jen </w:t>
      </w:r>
      <w:r w:rsidRPr="0053678B">
        <w:rPr>
          <w:b/>
          <w:sz w:val="22"/>
          <w:szCs w:val="22"/>
        </w:rPr>
        <w:t>„Objednatel“</w:t>
      </w:r>
      <w:r w:rsidRPr="0053678B">
        <w:rPr>
          <w:sz w:val="22"/>
          <w:szCs w:val="22"/>
        </w:rPr>
        <w:t xml:space="preserve"> na straně jedné</w:t>
      </w:r>
      <w:r w:rsidR="00E06198">
        <w:rPr>
          <w:sz w:val="22"/>
          <w:szCs w:val="22"/>
        </w:rPr>
        <w:t xml:space="preserve"> na základě smlouvy o spolupráci č. S-1508/00066001/2021</w:t>
      </w:r>
      <w:r w:rsidR="00740FA1">
        <w:rPr>
          <w:sz w:val="22"/>
          <w:szCs w:val="22"/>
        </w:rPr>
        <w:tab/>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394C39" w:rsidRDefault="003C6092" w:rsidP="003C6092">
      <w:pPr>
        <w:pStyle w:val="Nzevlnku"/>
        <w:spacing w:before="80"/>
        <w:rPr>
          <w:sz w:val="22"/>
          <w:szCs w:val="22"/>
        </w:rPr>
      </w:pPr>
      <w:r w:rsidRPr="00394C39">
        <w:rPr>
          <w:sz w:val="22"/>
          <w:szCs w:val="22"/>
        </w:rPr>
        <w:t>Předmět Díla</w:t>
      </w:r>
    </w:p>
    <w:p w:rsidR="003C6092" w:rsidRPr="00394C39" w:rsidRDefault="003C6092" w:rsidP="00394C39">
      <w:pPr>
        <w:pStyle w:val="Textodst1sl"/>
        <w:numPr>
          <w:ilvl w:val="1"/>
          <w:numId w:val="15"/>
        </w:numPr>
        <w:rPr>
          <w:sz w:val="22"/>
          <w:szCs w:val="22"/>
        </w:rPr>
      </w:pPr>
      <w:r w:rsidRPr="00394C39">
        <w:rPr>
          <w:sz w:val="22"/>
          <w:szCs w:val="22"/>
        </w:rPr>
        <w:t xml:space="preserve">Předmětem Smlouvy je provedení a dokončení stavebních prací </w:t>
      </w:r>
      <w:r w:rsidR="00740FA1" w:rsidRPr="00394C39">
        <w:rPr>
          <w:b/>
          <w:sz w:val="22"/>
          <w:szCs w:val="22"/>
        </w:rPr>
        <w:t>„</w:t>
      </w:r>
      <w:r w:rsidR="00394C39" w:rsidRPr="00394C39">
        <w:rPr>
          <w:b/>
          <w:sz w:val="22"/>
          <w:szCs w:val="22"/>
        </w:rPr>
        <w:t>III/27515 Holé Vrchy</w:t>
      </w:r>
      <w:r w:rsidRPr="00394C39">
        <w:rPr>
          <w:b/>
          <w:sz w:val="22"/>
          <w:szCs w:val="22"/>
        </w:rPr>
        <w:t>“</w:t>
      </w:r>
      <w:r w:rsidRPr="00394C39">
        <w:rPr>
          <w:sz w:val="22"/>
          <w:szCs w:val="22"/>
        </w:rPr>
        <w:t>, a to v následujícím rozsahu:</w:t>
      </w:r>
    </w:p>
    <w:p w:rsidR="00394C39" w:rsidRPr="00394C39" w:rsidRDefault="00394C39" w:rsidP="00394C39">
      <w:pPr>
        <w:pStyle w:val="Textodst2slovan"/>
        <w:rPr>
          <w:sz w:val="22"/>
          <w:szCs w:val="22"/>
        </w:rPr>
      </w:pPr>
      <w:r w:rsidRPr="00394C39">
        <w:rPr>
          <w:sz w:val="22"/>
          <w:szCs w:val="22"/>
        </w:rPr>
        <w:t>Oprava silnice č. III/27515 o celkové výměře 6034 m2 (celková délka 827 m, průměrná šířka 7,3 m). Technologie opravy: Frézování poškozených vrstev do hloubky 50 mm – strojní čištění vozovky – výšková úprava poklopů/vpustí - spojovací postřiky – vyrovnávací vrstva ACL - obrusná vrstva ACO 11 v tloušťce 50 mm – frézování a zálivka spár - VDZ barva (vodící proužek 12,5 cm, přechod pro chodce 12 m2) - návrh, projednání a realizace DIO.</w:t>
      </w:r>
    </w:p>
    <w:p w:rsidR="00394C39" w:rsidRPr="00394C39" w:rsidRDefault="00394C39" w:rsidP="00394C39">
      <w:pPr>
        <w:pStyle w:val="Textodst2slovan"/>
        <w:rPr>
          <w:sz w:val="22"/>
          <w:szCs w:val="22"/>
        </w:rPr>
      </w:pPr>
      <w:r w:rsidRPr="00394C39">
        <w:rPr>
          <w:sz w:val="22"/>
          <w:szCs w:val="22"/>
        </w:rPr>
        <w:t xml:space="preserve">Částečně bude oprava provedena bez frézování, s navýšením nivelety vozovky o 50 mm (úseky budou upřesněny na místě). </w:t>
      </w:r>
    </w:p>
    <w:p w:rsidR="0047147B" w:rsidRPr="00394C39" w:rsidRDefault="00394C39" w:rsidP="00394C39">
      <w:pPr>
        <w:pStyle w:val="Textodst2slovan"/>
        <w:numPr>
          <w:ilvl w:val="0"/>
          <w:numId w:val="0"/>
        </w:numPr>
        <w:ind w:left="284" w:firstLine="708"/>
        <w:rPr>
          <w:sz w:val="22"/>
          <w:szCs w:val="22"/>
        </w:rPr>
      </w:pPr>
      <w:r w:rsidRPr="00394C39">
        <w:rPr>
          <w:sz w:val="22"/>
          <w:szCs w:val="22"/>
        </w:rPr>
        <w:t>U autobusové zastávky bude provedena sanace konstrukčních vrstev v rozsahu 280m2</w:t>
      </w:r>
    </w:p>
    <w:p w:rsidR="00F11BD1" w:rsidRDefault="00F11BD1" w:rsidP="0047147B">
      <w:pPr>
        <w:pStyle w:val="Textodst3psmena"/>
        <w:numPr>
          <w:ilvl w:val="0"/>
          <w:numId w:val="0"/>
        </w:numPr>
        <w:ind w:left="1416"/>
        <w:rPr>
          <w:sz w:val="22"/>
          <w:szCs w:val="22"/>
        </w:rPr>
      </w:pPr>
      <w:r w:rsidRPr="00394C39">
        <w:rPr>
          <w:sz w:val="22"/>
          <w:szCs w:val="22"/>
        </w:rPr>
        <w:t>Veškeré provedené práce budou dle platných</w:t>
      </w:r>
      <w:r w:rsidRPr="00F11BD1">
        <w:rPr>
          <w:sz w:val="22"/>
          <w:szCs w:val="22"/>
        </w:rPr>
        <w:t xml:space="preserve">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394C39">
        <w:rPr>
          <w:bCs/>
          <w:sz w:val="22"/>
          <w:szCs w:val="22"/>
        </w:rPr>
        <w:t xml:space="preserve">Objednateli </w:t>
      </w:r>
      <w:r w:rsidR="002B3EAB" w:rsidRPr="00394C39">
        <w:rPr>
          <w:b/>
          <w:bCs/>
          <w:sz w:val="22"/>
          <w:szCs w:val="22"/>
        </w:rPr>
        <w:t xml:space="preserve">do 3 </w:t>
      </w:r>
      <w:r w:rsidR="00740FA1" w:rsidRPr="00394C39">
        <w:rPr>
          <w:b/>
          <w:bCs/>
          <w:sz w:val="22"/>
          <w:szCs w:val="22"/>
        </w:rPr>
        <w:t>týdnů</w:t>
      </w:r>
      <w:r w:rsidR="00740FA1">
        <w:rPr>
          <w:b/>
          <w:bCs/>
          <w:sz w:val="22"/>
          <w:szCs w:val="22"/>
        </w:rPr>
        <w:t xml:space="preserve"> </w:t>
      </w:r>
      <w:r w:rsidR="002B3EAB">
        <w:rPr>
          <w:bCs/>
          <w:sz w:val="22"/>
          <w:szCs w:val="22"/>
        </w:rPr>
        <w:t xml:space="preserve">od </w:t>
      </w:r>
      <w:r w:rsidR="00223503">
        <w:rPr>
          <w:bCs/>
          <w:sz w:val="22"/>
          <w:szCs w:val="22"/>
        </w:rPr>
        <w:t>předání Staveniště Zhotoviteli.</w:t>
      </w:r>
    </w:p>
    <w:p w:rsidR="005A63FB" w:rsidRPr="00223503" w:rsidRDefault="005A63FB" w:rsidP="00223503">
      <w:pPr>
        <w:pStyle w:val="Textodst1sl"/>
        <w:numPr>
          <w:ilvl w:val="1"/>
          <w:numId w:val="16"/>
        </w:numPr>
        <w:rPr>
          <w:sz w:val="22"/>
          <w:szCs w:val="22"/>
        </w:rPr>
      </w:pPr>
      <w:r>
        <w:rPr>
          <w:bCs/>
          <w:sz w:val="22"/>
          <w:szCs w:val="22"/>
        </w:rPr>
        <w:t xml:space="preserve">Objednatel vyzve Zhotovitele k převzetí Staveniště </w:t>
      </w:r>
      <w:r w:rsidR="007F759E">
        <w:rPr>
          <w:bCs/>
          <w:sz w:val="22"/>
          <w:szCs w:val="22"/>
        </w:rPr>
        <w:t>v průběhu stavební sezo</w:t>
      </w:r>
      <w:r w:rsidR="007F759E" w:rsidRPr="00740FA1">
        <w:rPr>
          <w:bCs/>
          <w:sz w:val="22"/>
          <w:szCs w:val="22"/>
        </w:rPr>
        <w:t>ny 202</w:t>
      </w:r>
      <w:r w:rsidR="00740FA1" w:rsidRPr="00740FA1">
        <w:rPr>
          <w:bCs/>
          <w:sz w:val="22"/>
          <w:szCs w:val="22"/>
        </w:rPr>
        <w:t>1</w:t>
      </w:r>
      <w:r>
        <w:rPr>
          <w:bCs/>
          <w:sz w:val="22"/>
          <w:szCs w:val="22"/>
        </w:rPr>
        <w:t xml:space="preserve">. </w:t>
      </w:r>
      <w:r w:rsidR="00A01533">
        <w:rPr>
          <w:bCs/>
          <w:sz w:val="22"/>
          <w:szCs w:val="22"/>
        </w:rPr>
        <w:t xml:space="preserve">Termín zahájení prací se odvíjí od dokončení souvisejících prací na pokládce inženýrských sítí. </w:t>
      </w:r>
      <w:r>
        <w:rPr>
          <w:bCs/>
          <w:sz w:val="22"/>
          <w:szCs w:val="22"/>
        </w:rPr>
        <w:t>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p>
    <w:p w:rsidR="00223503"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w:t>
      </w:r>
      <w:r w:rsidR="00FB731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3004FA" w:rsidRPr="003004FA" w:rsidRDefault="003004FA" w:rsidP="003004FA">
      <w:pPr>
        <w:pStyle w:val="Textodst1sl"/>
        <w:numPr>
          <w:ilvl w:val="1"/>
          <w:numId w:val="16"/>
        </w:numPr>
        <w:rPr>
          <w:sz w:val="22"/>
          <w:szCs w:val="22"/>
        </w:rPr>
      </w:pPr>
      <w:r w:rsidRPr="003004FA">
        <w:rPr>
          <w:sz w:val="22"/>
          <w:szCs w:val="22"/>
        </w:rPr>
        <w:t>Přerušení prací z důvodu zimní technologické přestávky je možné pouze za podmínky, že bude kompletně dokončen rozpracovaný úsek a nic nebude bránit řádnému užívání předmětu smlouvy.</w:t>
      </w:r>
    </w:p>
    <w:p w:rsidR="003004FA" w:rsidRPr="003004FA" w:rsidRDefault="003004FA" w:rsidP="003004FA">
      <w:pPr>
        <w:pStyle w:val="Textodst1sl"/>
        <w:numPr>
          <w:ilvl w:val="1"/>
          <w:numId w:val="16"/>
        </w:numPr>
        <w:rPr>
          <w:sz w:val="22"/>
          <w:szCs w:val="22"/>
        </w:rPr>
      </w:pPr>
      <w:r w:rsidRPr="003004FA">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rsidR="00F11BD1" w:rsidRPr="00F04838" w:rsidRDefault="003004FA" w:rsidP="00F11BD1">
      <w:pPr>
        <w:pStyle w:val="Textodst1sl"/>
        <w:rPr>
          <w:sz w:val="22"/>
          <w:szCs w:val="22"/>
        </w:rPr>
      </w:pPr>
      <w:r w:rsidRPr="003004FA">
        <w:rPr>
          <w:sz w:val="22"/>
          <w:szCs w:val="22"/>
        </w:rPr>
        <w:t>Po dobu provádění stavebních prací v období Zimní technologické přestávky, zhotovitel zajistí Zimní údržbu komunikace, včetně objízdných tras, dle platné legislativy.</w:t>
      </w:r>
      <w:r w:rsidR="00CC7957" w:rsidRPr="0038024A">
        <w:rPr>
          <w:sz w:val="22"/>
          <w:szCs w:val="22"/>
        </w:rPr>
        <w:t xml:space="preserve">Odpovídající prodloužení termínu provádění Díla, jakož i jednotlivých dílčích termínů, je </w:t>
      </w:r>
      <w:r w:rsidR="00CC7957">
        <w:rPr>
          <w:sz w:val="22"/>
          <w:szCs w:val="22"/>
        </w:rPr>
        <w:t>ve smyslu § 100 odst. 1 zákona č. 134/201</w:t>
      </w:r>
      <w:r w:rsidR="00CC7957" w:rsidRPr="0038024A">
        <w:rPr>
          <w:sz w:val="22"/>
          <w:szCs w:val="22"/>
        </w:rPr>
        <w:t xml:space="preserve">6 Sb., o </w:t>
      </w:r>
      <w:r w:rsidR="00CC7957">
        <w:rPr>
          <w:sz w:val="22"/>
          <w:szCs w:val="22"/>
        </w:rPr>
        <w:t xml:space="preserve">zadávání </w:t>
      </w:r>
      <w:r w:rsidR="00CC7957" w:rsidRPr="0038024A">
        <w:rPr>
          <w:sz w:val="22"/>
          <w:szCs w:val="22"/>
        </w:rPr>
        <w:t>veřejných zakáz</w:t>
      </w:r>
      <w:r w:rsidR="00CC7957">
        <w:rPr>
          <w:sz w:val="22"/>
          <w:szCs w:val="22"/>
        </w:rPr>
        <w:t>e</w:t>
      </w:r>
      <w:r w:rsidR="00CC7957" w:rsidRPr="0038024A">
        <w:rPr>
          <w:sz w:val="22"/>
          <w:szCs w:val="22"/>
        </w:rPr>
        <w:t>k, ve znění pozdějších předpisů (dále jen „</w:t>
      </w:r>
      <w:r w:rsidR="00CC7957" w:rsidRPr="00F04838">
        <w:rPr>
          <w:b/>
          <w:sz w:val="22"/>
          <w:szCs w:val="22"/>
        </w:rPr>
        <w:t xml:space="preserve">Zákon </w:t>
      </w:r>
      <w:r w:rsidR="00CC7957" w:rsidRPr="002C3826">
        <w:rPr>
          <w:b/>
          <w:sz w:val="22"/>
          <w:szCs w:val="22"/>
        </w:rPr>
        <w:t>o ZVZ“</w:t>
      </w:r>
      <w:r w:rsidR="00CC7957" w:rsidRPr="002C3826">
        <w:rPr>
          <w:sz w:val="22"/>
          <w:szCs w:val="22"/>
        </w:rPr>
        <w:t>)</w:t>
      </w:r>
      <w:r w:rsidR="00CC7957">
        <w:rPr>
          <w:sz w:val="22"/>
          <w:szCs w:val="22"/>
        </w:rPr>
        <w:t xml:space="preserve">, </w:t>
      </w:r>
      <w:r w:rsidR="00CC7957"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w:t>
      </w:r>
      <w:r w:rsidRPr="0038024A">
        <w:rPr>
          <w:sz w:val="22"/>
          <w:szCs w:val="22"/>
        </w:rPr>
        <w:lastRenderedPageBreak/>
        <w:t xml:space="preserve">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376B6E" w:rsidRDefault="00F30305" w:rsidP="00376B6E">
      <w:pPr>
        <w:pStyle w:val="Textodst1sl"/>
        <w:numPr>
          <w:ilvl w:val="1"/>
          <w:numId w:val="8"/>
        </w:numPr>
        <w:rPr>
          <w:sz w:val="22"/>
          <w:szCs w:val="22"/>
        </w:rPr>
      </w:pPr>
      <w:r w:rsidRPr="00376B6E">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r w:rsidR="00376B6E" w:rsidRPr="00376B6E">
        <w:rPr>
          <w:sz w:val="22"/>
          <w:szCs w:val="22"/>
        </w:rPr>
        <w:t xml:space="preserve"> Zhotovitel je povinen koordinovat plnění Díla se zhotovitelem výstavby inženýrské sítě tak, aby realizace Díla navazovala na realizaci obnovy konstrukčního souvrství a podkladních živičných vrstev ve výkopech po výstavbě inženýrské sítě.</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w:t>
      </w:r>
      <w:r w:rsidRPr="004A1FD6">
        <w:rPr>
          <w:sz w:val="22"/>
          <w:szCs w:val="22"/>
        </w:rPr>
        <w:lastRenderedPageBreak/>
        <w:t xml:space="preserve">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lastRenderedPageBreak/>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5A63FB" w:rsidRPr="00DF1D39" w:rsidRDefault="005A63FB" w:rsidP="00740FA1">
      <w:pPr>
        <w:pStyle w:val="Textodst1sl"/>
        <w:numPr>
          <w:ilvl w:val="0"/>
          <w:numId w:val="0"/>
        </w:numPr>
        <w:ind w:left="710"/>
        <w:rPr>
          <w:sz w:val="22"/>
          <w:szCs w:val="22"/>
        </w:rPr>
      </w:pP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lastRenderedPageBreak/>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w:t>
      </w:r>
      <w:r>
        <w:rPr>
          <w:sz w:val="22"/>
          <w:szCs w:val="22"/>
        </w:rPr>
        <w:lastRenderedPageBreak/>
        <w:t>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6F7238" w:rsidP="003F25B1">
      <w:pPr>
        <w:pStyle w:val="Textodst1sl"/>
        <w:numPr>
          <w:ilvl w:val="0"/>
          <w:numId w:val="21"/>
        </w:numPr>
        <w:ind w:left="1843"/>
        <w:rPr>
          <w:sz w:val="22"/>
          <w:szCs w:val="22"/>
        </w:rPr>
      </w:pPr>
      <w:r w:rsidRPr="00672793">
        <w:rPr>
          <w:b/>
          <w:sz w:val="22"/>
          <w:szCs w:val="22"/>
        </w:rPr>
        <w:t>měření</w:t>
      </w:r>
      <w:r w:rsidRPr="00672793">
        <w:rPr>
          <w:sz w:val="22"/>
          <w:szCs w:val="22"/>
        </w:rPr>
        <w:t xml:space="preserve"> skutečně provedeného množství plnění, kdy budou uhrazeny pouze skutečně provedené změřené práce. </w:t>
      </w:r>
      <w:r w:rsidRPr="00DF427E">
        <w:rPr>
          <w:sz w:val="22"/>
          <w:szCs w:val="22"/>
        </w:rPr>
        <w:t xml:space="preserve"> </w:t>
      </w:r>
      <w:r w:rsidRPr="00672793">
        <w:rPr>
          <w:sz w:val="22"/>
          <w:szCs w:val="22"/>
        </w:rPr>
        <w:t>Položk</w:t>
      </w:r>
      <w:r>
        <w:rPr>
          <w:sz w:val="22"/>
          <w:szCs w:val="22"/>
        </w:rPr>
        <w:t>ami</w:t>
      </w:r>
      <w:r w:rsidRPr="00672793">
        <w:rPr>
          <w:sz w:val="22"/>
          <w:szCs w:val="22"/>
        </w:rPr>
        <w:t xml:space="preserve">, které mohou být měřeny dle skutečně provedených prací, jsou </w:t>
      </w:r>
      <w:r>
        <w:rPr>
          <w:sz w:val="22"/>
          <w:szCs w:val="22"/>
        </w:rPr>
        <w:t xml:space="preserve">všechny položky </w:t>
      </w:r>
      <w:r w:rsidRPr="00672793">
        <w:rPr>
          <w:sz w:val="22"/>
          <w:szCs w:val="22"/>
        </w:rPr>
        <w:t>v soupisu prací</w:t>
      </w:r>
      <w:r>
        <w:rPr>
          <w:sz w:val="22"/>
          <w:szCs w:val="22"/>
        </w:rPr>
        <w:t>, které nejskou označeny jako položky KLP.</w:t>
      </w:r>
      <w:r w:rsidRPr="00672793">
        <w:rPr>
          <w:sz w:val="22"/>
          <w:szCs w:val="22"/>
        </w:rPr>
        <w:t xml:space="preserve"> </w:t>
      </w:r>
      <w:r>
        <w:rPr>
          <w:sz w:val="22"/>
          <w:szCs w:val="22"/>
        </w:rPr>
        <w:t>Cena za tyto položky, které budou měřeny,</w:t>
      </w:r>
      <w:r w:rsidRPr="00672793">
        <w:rPr>
          <w:sz w:val="22"/>
          <w:szCs w:val="22"/>
        </w:rPr>
        <w:t xml:space="preserve"> bud</w:t>
      </w:r>
      <w:r>
        <w:rPr>
          <w:sz w:val="22"/>
          <w:szCs w:val="22"/>
        </w:rPr>
        <w:t>e</w:t>
      </w:r>
      <w:r w:rsidRPr="00672793">
        <w:rPr>
          <w:sz w:val="22"/>
          <w:szCs w:val="22"/>
        </w:rPr>
        <w:t xml:space="preserv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4E7E5D" w:rsidRPr="00066378">
        <w:rPr>
          <w:sz w:val="22"/>
          <w:szCs w:val="22"/>
        </w:rPr>
        <w: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w:t>
      </w:r>
      <w:r w:rsidR="0084125B">
        <w:rPr>
          <w:sz w:val="22"/>
          <w:szCs w:val="22"/>
        </w:rPr>
        <w:t>6</w:t>
      </w:r>
      <w:r w:rsidR="00066378" w:rsidRPr="00066378">
        <w:rPr>
          <w:sz w:val="22"/>
          <w:szCs w:val="22"/>
        </w:rPr>
        <w:t>.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w:t>
      </w:r>
      <w:r w:rsidRPr="0038024A">
        <w:rPr>
          <w:sz w:val="22"/>
          <w:szCs w:val="22"/>
        </w:rPr>
        <w:lastRenderedPageBreak/>
        <w:t xml:space="preserve">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w:t>
      </w:r>
      <w:r w:rsidRPr="00F30305">
        <w:rPr>
          <w:sz w:val="22"/>
          <w:szCs w:val="22"/>
        </w:rPr>
        <w:lastRenderedPageBreak/>
        <w:t>(či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484FFC" w:rsidRPr="00F30305" w:rsidRDefault="00484FFC" w:rsidP="00484FFC">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rsidR="00484FFC" w:rsidRPr="00F30305" w:rsidRDefault="00484FFC" w:rsidP="003C6092">
      <w:pPr>
        <w:pStyle w:val="Textodst1sl"/>
        <w:rPr>
          <w:sz w:val="22"/>
          <w:szCs w:val="22"/>
        </w:rPr>
      </w:pP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740FA1">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740FA1">
            <w:pPr>
              <w:pStyle w:val="Textodst1sl"/>
              <w:numPr>
                <w:ilvl w:val="0"/>
                <w:numId w:val="0"/>
              </w:numPr>
              <w:rPr>
                <w:sz w:val="22"/>
                <w:szCs w:val="22"/>
                <w:highlight w:val="cyan"/>
              </w:rPr>
            </w:pPr>
            <w:r w:rsidRPr="00DD620F">
              <w:rPr>
                <w:sz w:val="22"/>
                <w:szCs w:val="22"/>
                <w:highlight w:val="cyan"/>
              </w:rPr>
              <w:t>[BUDE DOPLNĚNO]</w:t>
            </w:r>
            <w:r w:rsidR="00CC7957">
              <w:rPr>
                <w:sz w:val="22"/>
                <w:szCs w:val="22"/>
              </w:rPr>
              <w:t xml:space="preserve"> </w:t>
            </w:r>
            <w:r w:rsidRPr="00DD620F">
              <w:rPr>
                <w:sz w:val="22"/>
                <w:szCs w:val="22"/>
              </w:rPr>
              <w:t>Kč</w:t>
            </w:r>
          </w:p>
        </w:tc>
      </w:tr>
    </w:tbl>
    <w:p w:rsidR="00F30305" w:rsidRDefault="00F30305" w:rsidP="00F30305">
      <w:pPr>
        <w:pStyle w:val="Textodst1sl"/>
        <w:numPr>
          <w:ilvl w:val="0"/>
          <w:numId w:val="0"/>
        </w:numPr>
        <w:ind w:left="1430"/>
        <w:rPr>
          <w:sz w:val="22"/>
          <w:szCs w:val="22"/>
          <w:highlight w:val="cyan"/>
        </w:rPr>
      </w:pPr>
    </w:p>
    <w:p w:rsidR="003D5ABD" w:rsidRPr="005C4324" w:rsidRDefault="003D5ABD" w:rsidP="003D5ABD">
      <w:pPr>
        <w:tabs>
          <w:tab w:val="clear" w:pos="0"/>
          <w:tab w:val="left" w:pos="1418"/>
        </w:tabs>
        <w:autoSpaceDE w:val="0"/>
        <w:autoSpaceDN w:val="0"/>
        <w:adjustRightInd w:val="0"/>
        <w:ind w:left="1418"/>
      </w:pPr>
      <w:r w:rsidRPr="005C4324">
        <w:t>Cena díla bude zhotoviteli</w:t>
      </w:r>
      <w:r>
        <w:t xml:space="preserve"> hrazena na základě dvou faktur.</w:t>
      </w:r>
    </w:p>
    <w:p w:rsidR="003D5ABD" w:rsidRPr="005C4324" w:rsidRDefault="003D5ABD" w:rsidP="003D5ABD">
      <w:pPr>
        <w:tabs>
          <w:tab w:val="clear" w:pos="0"/>
          <w:tab w:val="left" w:pos="1418"/>
        </w:tabs>
        <w:autoSpaceDE w:val="0"/>
        <w:autoSpaceDN w:val="0"/>
        <w:adjustRightInd w:val="0"/>
        <w:ind w:left="1418"/>
      </w:pPr>
      <w:r w:rsidRPr="005C4324">
        <w:t>Fakturace bude probí</w:t>
      </w:r>
      <w:r w:rsidR="002B744B">
        <w:t>hat pro jednotlivé Objednavatele</w:t>
      </w:r>
      <w:r w:rsidRPr="005C4324">
        <w:t xml:space="preserve"> samostatně za její stavební část a to</w:t>
      </w:r>
      <w:r>
        <w:t xml:space="preserve"> </w:t>
      </w:r>
      <w:r w:rsidRPr="005C4324">
        <w:t>ve výši:</w:t>
      </w:r>
    </w:p>
    <w:p w:rsidR="003D5ABD" w:rsidRPr="003D5ABD" w:rsidRDefault="003D5ABD" w:rsidP="003D5ABD">
      <w:pPr>
        <w:tabs>
          <w:tab w:val="clear" w:pos="0"/>
          <w:tab w:val="left" w:pos="1418"/>
        </w:tabs>
        <w:autoSpaceDE w:val="0"/>
        <w:autoSpaceDN w:val="0"/>
        <w:adjustRightInd w:val="0"/>
        <w:ind w:left="1418"/>
        <w:rPr>
          <w:b/>
        </w:rPr>
      </w:pPr>
      <w:r w:rsidRPr="003D5ABD">
        <w:rPr>
          <w:b/>
        </w:rPr>
        <w:t>Část 1 (podíl VaK Mladá Boleslav, a.s.) – 50% celkové ceny díla</w:t>
      </w:r>
    </w:p>
    <w:p w:rsidR="003D5ABD" w:rsidRPr="003D5ABD" w:rsidRDefault="003D5ABD" w:rsidP="003D5ABD">
      <w:pPr>
        <w:tabs>
          <w:tab w:val="clear" w:pos="0"/>
          <w:tab w:val="left" w:pos="1418"/>
        </w:tabs>
        <w:ind w:left="1418"/>
        <w:rPr>
          <w:b/>
        </w:rPr>
      </w:pPr>
      <w:r w:rsidRPr="003D5ABD">
        <w:rPr>
          <w:b/>
        </w:rPr>
        <w:t>Část 2 (podíl KSÚS SK) – 50% celkové ceny díla</w:t>
      </w:r>
    </w:p>
    <w:p w:rsidR="003D5ABD" w:rsidRDefault="003D5ABD" w:rsidP="003D5ABD">
      <w:pPr>
        <w:tabs>
          <w:tab w:val="clear" w:pos="0"/>
          <w:tab w:val="left" w:pos="1418"/>
        </w:tabs>
        <w:ind w:left="1418"/>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827"/>
      </w:tblGrid>
      <w:tr w:rsidR="003D5ABD" w:rsidRPr="00F04838" w:rsidTr="00581660">
        <w:tc>
          <w:tcPr>
            <w:tcW w:w="3766" w:type="dxa"/>
            <w:shd w:val="clear" w:color="auto" w:fill="auto"/>
          </w:tcPr>
          <w:p w:rsidR="003D5ABD" w:rsidRDefault="003D5ABD" w:rsidP="00581660">
            <w:pPr>
              <w:pStyle w:val="Textodst1sl"/>
              <w:numPr>
                <w:ilvl w:val="0"/>
                <w:numId w:val="0"/>
              </w:numPr>
              <w:rPr>
                <w:sz w:val="22"/>
                <w:szCs w:val="22"/>
              </w:rPr>
            </w:pPr>
            <w:r w:rsidRPr="00DD620F">
              <w:rPr>
                <w:sz w:val="22"/>
                <w:szCs w:val="22"/>
              </w:rPr>
              <w:t>Cena Díla bez DPH</w:t>
            </w:r>
          </w:p>
          <w:p w:rsidR="003D5ABD" w:rsidRPr="00DD620F" w:rsidRDefault="003D5ABD" w:rsidP="003D5ABD">
            <w:pPr>
              <w:pStyle w:val="Textodst1sl"/>
              <w:numPr>
                <w:ilvl w:val="0"/>
                <w:numId w:val="0"/>
              </w:numPr>
              <w:rPr>
                <w:sz w:val="22"/>
                <w:szCs w:val="22"/>
              </w:rPr>
            </w:pPr>
            <w:r>
              <w:rPr>
                <w:sz w:val="22"/>
                <w:szCs w:val="22"/>
              </w:rPr>
              <w:t xml:space="preserve">podíl </w:t>
            </w:r>
            <w:r w:rsidR="002B744B" w:rsidRPr="002B744B">
              <w:rPr>
                <w:sz w:val="22"/>
                <w:szCs w:val="22"/>
              </w:rPr>
              <w:t xml:space="preserve">Objednavatele </w:t>
            </w:r>
            <w:r>
              <w:rPr>
                <w:sz w:val="22"/>
                <w:szCs w:val="22"/>
              </w:rPr>
              <w:t>KSÚS SK</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3D5ABD" w:rsidRPr="00F04838" w:rsidTr="00581660">
        <w:tc>
          <w:tcPr>
            <w:tcW w:w="3766" w:type="dxa"/>
            <w:shd w:val="clear" w:color="auto" w:fill="auto"/>
          </w:tcPr>
          <w:p w:rsidR="003D5ABD" w:rsidRPr="00DD620F" w:rsidRDefault="003D5ABD" w:rsidP="00581660">
            <w:pPr>
              <w:pStyle w:val="Textodst1sl"/>
              <w:numPr>
                <w:ilvl w:val="0"/>
                <w:numId w:val="0"/>
              </w:numPr>
              <w:rPr>
                <w:sz w:val="22"/>
                <w:szCs w:val="22"/>
              </w:rPr>
            </w:pPr>
            <w:r w:rsidRPr="00DD620F">
              <w:rPr>
                <w:sz w:val="22"/>
                <w:szCs w:val="22"/>
              </w:rPr>
              <w:t>DPH 21%</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3D5ABD" w:rsidRPr="00F04838" w:rsidTr="00581660">
        <w:tc>
          <w:tcPr>
            <w:tcW w:w="3766" w:type="dxa"/>
            <w:shd w:val="clear" w:color="auto" w:fill="auto"/>
          </w:tcPr>
          <w:p w:rsidR="003D5ABD" w:rsidRPr="00DD620F" w:rsidRDefault="003D5ABD" w:rsidP="00581660">
            <w:pPr>
              <w:pStyle w:val="Textodst1sl"/>
              <w:numPr>
                <w:ilvl w:val="0"/>
                <w:numId w:val="0"/>
              </w:numPr>
              <w:rPr>
                <w:sz w:val="22"/>
                <w:szCs w:val="22"/>
              </w:rPr>
            </w:pPr>
            <w:r w:rsidRPr="00DD620F">
              <w:rPr>
                <w:sz w:val="22"/>
                <w:szCs w:val="22"/>
              </w:rPr>
              <w:t>DPH 15 %</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3D5ABD" w:rsidRPr="00F04838" w:rsidTr="00581660">
        <w:tc>
          <w:tcPr>
            <w:tcW w:w="3766" w:type="dxa"/>
            <w:shd w:val="clear" w:color="auto" w:fill="auto"/>
          </w:tcPr>
          <w:p w:rsidR="003D5ABD" w:rsidRDefault="003D5ABD" w:rsidP="00581660">
            <w:pPr>
              <w:pStyle w:val="Textodst1sl"/>
              <w:numPr>
                <w:ilvl w:val="0"/>
                <w:numId w:val="0"/>
              </w:numPr>
              <w:rPr>
                <w:sz w:val="22"/>
                <w:szCs w:val="22"/>
              </w:rPr>
            </w:pPr>
            <w:r w:rsidRPr="00DD620F">
              <w:rPr>
                <w:sz w:val="22"/>
                <w:szCs w:val="22"/>
              </w:rPr>
              <w:t>Cena Díla včetně DPH</w:t>
            </w:r>
          </w:p>
          <w:p w:rsidR="003D5ABD" w:rsidRPr="00DD620F" w:rsidRDefault="003D5ABD" w:rsidP="002B744B">
            <w:pPr>
              <w:pStyle w:val="Textodst1sl"/>
              <w:numPr>
                <w:ilvl w:val="0"/>
                <w:numId w:val="0"/>
              </w:numPr>
              <w:rPr>
                <w:sz w:val="22"/>
                <w:szCs w:val="22"/>
              </w:rPr>
            </w:pPr>
            <w:r>
              <w:rPr>
                <w:sz w:val="22"/>
                <w:szCs w:val="22"/>
              </w:rPr>
              <w:t xml:space="preserve">podíl </w:t>
            </w:r>
            <w:r w:rsidR="002B744B">
              <w:rPr>
                <w:sz w:val="22"/>
                <w:szCs w:val="22"/>
              </w:rPr>
              <w:t>Objednavatele</w:t>
            </w:r>
            <w:r>
              <w:rPr>
                <w:sz w:val="22"/>
                <w:szCs w:val="22"/>
              </w:rPr>
              <w:t xml:space="preserve"> KSÚS SK</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bl>
    <w:p w:rsidR="003D5ABD" w:rsidRDefault="003D5ABD" w:rsidP="003D5ABD">
      <w:pPr>
        <w:tabs>
          <w:tab w:val="clear" w:pos="0"/>
          <w:tab w:val="left" w:pos="1418"/>
        </w:tabs>
        <w:ind w:left="1418"/>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827"/>
      </w:tblGrid>
      <w:tr w:rsidR="003D5ABD" w:rsidRPr="00F04838" w:rsidTr="00581660">
        <w:tc>
          <w:tcPr>
            <w:tcW w:w="3766" w:type="dxa"/>
            <w:shd w:val="clear" w:color="auto" w:fill="auto"/>
          </w:tcPr>
          <w:p w:rsidR="003D5ABD" w:rsidRDefault="003D5ABD" w:rsidP="00581660">
            <w:pPr>
              <w:pStyle w:val="Textodst1sl"/>
              <w:numPr>
                <w:ilvl w:val="0"/>
                <w:numId w:val="0"/>
              </w:numPr>
              <w:rPr>
                <w:sz w:val="22"/>
                <w:szCs w:val="22"/>
              </w:rPr>
            </w:pPr>
            <w:r w:rsidRPr="00DD620F">
              <w:rPr>
                <w:sz w:val="22"/>
                <w:szCs w:val="22"/>
              </w:rPr>
              <w:t>Cena Díla bez DPH</w:t>
            </w:r>
          </w:p>
          <w:p w:rsidR="003D5ABD" w:rsidRPr="00DD620F" w:rsidRDefault="002B744B" w:rsidP="002B744B">
            <w:pPr>
              <w:pStyle w:val="Textodst1sl"/>
              <w:numPr>
                <w:ilvl w:val="0"/>
                <w:numId w:val="0"/>
              </w:numPr>
              <w:rPr>
                <w:sz w:val="22"/>
                <w:szCs w:val="22"/>
              </w:rPr>
            </w:pPr>
            <w:r>
              <w:rPr>
                <w:sz w:val="22"/>
                <w:szCs w:val="22"/>
              </w:rPr>
              <w:t>podíl Objednavatele</w:t>
            </w:r>
            <w:r w:rsidR="003D5ABD">
              <w:rPr>
                <w:sz w:val="22"/>
                <w:szCs w:val="22"/>
              </w:rPr>
              <w:t xml:space="preserve"> </w:t>
            </w:r>
            <w:r w:rsidR="003D5ABD" w:rsidRPr="003D5ABD">
              <w:rPr>
                <w:sz w:val="22"/>
                <w:szCs w:val="22"/>
              </w:rPr>
              <w:t>VaK Mladá Boleslav, a.s.</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3D5ABD" w:rsidRPr="00F04838" w:rsidTr="00581660">
        <w:tc>
          <w:tcPr>
            <w:tcW w:w="3766" w:type="dxa"/>
            <w:shd w:val="clear" w:color="auto" w:fill="auto"/>
          </w:tcPr>
          <w:p w:rsidR="003D5ABD" w:rsidRPr="00DD620F" w:rsidRDefault="003D5ABD" w:rsidP="00581660">
            <w:pPr>
              <w:pStyle w:val="Textodst1sl"/>
              <w:numPr>
                <w:ilvl w:val="0"/>
                <w:numId w:val="0"/>
              </w:numPr>
              <w:rPr>
                <w:sz w:val="22"/>
                <w:szCs w:val="22"/>
              </w:rPr>
            </w:pPr>
            <w:r w:rsidRPr="00DD620F">
              <w:rPr>
                <w:sz w:val="22"/>
                <w:szCs w:val="22"/>
              </w:rPr>
              <w:t>DPH 21%</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3D5ABD" w:rsidRPr="00F04838" w:rsidTr="00581660">
        <w:tc>
          <w:tcPr>
            <w:tcW w:w="3766" w:type="dxa"/>
            <w:shd w:val="clear" w:color="auto" w:fill="auto"/>
          </w:tcPr>
          <w:p w:rsidR="003D5ABD" w:rsidRPr="00DD620F" w:rsidRDefault="003D5ABD" w:rsidP="00581660">
            <w:pPr>
              <w:pStyle w:val="Textodst1sl"/>
              <w:numPr>
                <w:ilvl w:val="0"/>
                <w:numId w:val="0"/>
              </w:numPr>
              <w:rPr>
                <w:sz w:val="22"/>
                <w:szCs w:val="22"/>
              </w:rPr>
            </w:pPr>
            <w:r w:rsidRPr="00DD620F">
              <w:rPr>
                <w:sz w:val="22"/>
                <w:szCs w:val="22"/>
              </w:rPr>
              <w:t>DPH 15 %</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3D5ABD" w:rsidRPr="00F04838" w:rsidTr="00581660">
        <w:tc>
          <w:tcPr>
            <w:tcW w:w="3766" w:type="dxa"/>
            <w:shd w:val="clear" w:color="auto" w:fill="auto"/>
          </w:tcPr>
          <w:p w:rsidR="003D5ABD" w:rsidRDefault="003D5ABD" w:rsidP="00581660">
            <w:pPr>
              <w:pStyle w:val="Textodst1sl"/>
              <w:numPr>
                <w:ilvl w:val="0"/>
                <w:numId w:val="0"/>
              </w:numPr>
              <w:rPr>
                <w:sz w:val="22"/>
                <w:szCs w:val="22"/>
              </w:rPr>
            </w:pPr>
            <w:r w:rsidRPr="00DD620F">
              <w:rPr>
                <w:sz w:val="22"/>
                <w:szCs w:val="22"/>
              </w:rPr>
              <w:t>Cena Díla včetně DPH</w:t>
            </w:r>
          </w:p>
          <w:p w:rsidR="003D5ABD" w:rsidRPr="00DD620F" w:rsidRDefault="003D5ABD" w:rsidP="002B744B">
            <w:pPr>
              <w:pStyle w:val="Textodst1sl"/>
              <w:numPr>
                <w:ilvl w:val="0"/>
                <w:numId w:val="0"/>
              </w:numPr>
              <w:rPr>
                <w:sz w:val="22"/>
                <w:szCs w:val="22"/>
              </w:rPr>
            </w:pPr>
            <w:r>
              <w:rPr>
                <w:sz w:val="22"/>
                <w:szCs w:val="22"/>
              </w:rPr>
              <w:t xml:space="preserve">podíl </w:t>
            </w:r>
            <w:r w:rsidR="002B744B">
              <w:rPr>
                <w:sz w:val="22"/>
                <w:szCs w:val="22"/>
              </w:rPr>
              <w:t>Objednavatele</w:t>
            </w:r>
            <w:r>
              <w:rPr>
                <w:sz w:val="22"/>
                <w:szCs w:val="22"/>
              </w:rPr>
              <w:t xml:space="preserve"> </w:t>
            </w:r>
            <w:r w:rsidRPr="003D5ABD">
              <w:rPr>
                <w:sz w:val="22"/>
                <w:szCs w:val="22"/>
              </w:rPr>
              <w:t>VaK Mladá Boleslav, a.s.</w:t>
            </w:r>
          </w:p>
        </w:tc>
        <w:tc>
          <w:tcPr>
            <w:tcW w:w="3888" w:type="dxa"/>
            <w:shd w:val="clear" w:color="auto" w:fill="auto"/>
          </w:tcPr>
          <w:p w:rsidR="003D5ABD" w:rsidRPr="00DD620F" w:rsidRDefault="003D5ABD" w:rsidP="00581660">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bl>
    <w:p w:rsidR="003D5ABD" w:rsidRDefault="003D5ABD" w:rsidP="003D5ABD">
      <w:pPr>
        <w:tabs>
          <w:tab w:val="clear" w:pos="0"/>
          <w:tab w:val="left" w:pos="1418"/>
        </w:tabs>
        <w:ind w:left="1418"/>
      </w:pPr>
    </w:p>
    <w:p w:rsidR="003D5ABD" w:rsidRDefault="003D5ABD" w:rsidP="003D5ABD">
      <w:pPr>
        <w:tabs>
          <w:tab w:val="clear" w:pos="0"/>
          <w:tab w:val="left" w:pos="1418"/>
        </w:tabs>
        <w:ind w:left="1418"/>
      </w:pPr>
    </w:p>
    <w:p w:rsidR="00F30305" w:rsidRDefault="00F30305" w:rsidP="00F30305">
      <w:pPr>
        <w:pStyle w:val="Textodst1sl"/>
        <w:numPr>
          <w:ilvl w:val="0"/>
          <w:numId w:val="0"/>
        </w:numPr>
        <w:ind w:left="1416"/>
        <w:rPr>
          <w:sz w:val="22"/>
          <w:szCs w:val="22"/>
        </w:rPr>
      </w:pPr>
      <w:r w:rsidRPr="0038024A">
        <w:rPr>
          <w:sz w:val="22"/>
          <w:szCs w:val="22"/>
        </w:rPr>
        <w:lastRenderedPageBreak/>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rsidR="0028051D" w:rsidRDefault="0028051D" w:rsidP="0028051D">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rsidR="0028051D" w:rsidRDefault="0028051D" w:rsidP="0028051D">
      <w:pPr>
        <w:pStyle w:val="Textodst1sl"/>
        <w:numPr>
          <w:ilvl w:val="1"/>
          <w:numId w:val="17"/>
        </w:numPr>
        <w:ind w:left="1430"/>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rsidR="0028051D" w:rsidRDefault="0028051D" w:rsidP="00F30305">
      <w:pPr>
        <w:pStyle w:val="Textodst1sl"/>
        <w:numPr>
          <w:ilvl w:val="0"/>
          <w:numId w:val="0"/>
        </w:numPr>
        <w:ind w:left="1416"/>
        <w:rPr>
          <w:sz w:val="22"/>
          <w:szCs w:val="22"/>
        </w:rPr>
      </w:pP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7A77E4" w:rsidRPr="00F04838" w:rsidRDefault="007A77E4" w:rsidP="007A77E4">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Default="00CC2A79" w:rsidP="00CC2A79">
      <w:pPr>
        <w:pStyle w:val="Textodst1sl"/>
        <w:rPr>
          <w:sz w:val="22"/>
          <w:szCs w:val="22"/>
        </w:rPr>
      </w:pPr>
      <w:r w:rsidRPr="00740FA1">
        <w:rPr>
          <w:sz w:val="22"/>
          <w:szCs w:val="22"/>
        </w:rPr>
        <w:t xml:space="preserve">Cena Díla dle čl. 8. Smlouvy bude Zhotoviteli uhrazena po dokončení Díla, a to v návaznosti na podpis Předávacího protokolu dle odst. 7.1. Smlouvy o převzetí </w:t>
      </w:r>
      <w:r w:rsidRPr="00740FA1">
        <w:rPr>
          <w:sz w:val="22"/>
          <w:szCs w:val="22"/>
        </w:rPr>
        <w:lastRenderedPageBreak/>
        <w:t xml:space="preserve">Díla bez vad a nedodělků nebo až na podpis zápisu dle odst. 7.4. Smlouvy, pokud byly v Předávacím protokole konstatovány vady a nedodělky Díla. </w:t>
      </w:r>
    </w:p>
    <w:p w:rsidR="002B744B" w:rsidRPr="00740FA1" w:rsidRDefault="002B744B" w:rsidP="002B744B">
      <w:pPr>
        <w:pStyle w:val="Textodst1sl"/>
        <w:numPr>
          <w:ilvl w:val="0"/>
          <w:numId w:val="0"/>
        </w:numPr>
        <w:ind w:left="1429"/>
        <w:rPr>
          <w:sz w:val="22"/>
          <w:szCs w:val="22"/>
        </w:rPr>
      </w:pPr>
      <w:r w:rsidRPr="002B744B">
        <w:rPr>
          <w:sz w:val="22"/>
          <w:szCs w:val="22"/>
        </w:rPr>
        <w:t>Faktury budou vystaveny jednotlivým zadavatelům po kompletním dokončení stavebních prací a předání dokladů (stavební deník, zkoušky, atesty, geodetické zaměření apod.) uvedených v předávacím protokolu.</w:t>
      </w:r>
    </w:p>
    <w:p w:rsidR="003004FA" w:rsidRPr="003004FA" w:rsidRDefault="003004FA" w:rsidP="003004FA">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w:t>
      </w:r>
      <w:r w:rsidR="00740FA1">
        <w:rPr>
          <w:sz w:val="22"/>
          <w:szCs w:val="22"/>
        </w:rPr>
        <w:t>m uzavření, stručný název Díla</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29"/>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Default="00F30305" w:rsidP="00F30305">
      <w:pPr>
        <w:pStyle w:val="Textodst1sl"/>
        <w:tabs>
          <w:tab w:val="clear" w:pos="1429"/>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B7318" w:rsidRPr="005F001F" w:rsidRDefault="00FB7318" w:rsidP="00F30305">
      <w:pPr>
        <w:pStyle w:val="Textodst1sl"/>
        <w:tabs>
          <w:tab w:val="clear" w:pos="1429"/>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rsidR="00F30305" w:rsidRDefault="00F30305" w:rsidP="00F30305">
      <w:pPr>
        <w:pStyle w:val="Textodst1sl"/>
        <w:tabs>
          <w:tab w:val="clear" w:pos="1429"/>
          <w:tab w:val="num" w:pos="1418"/>
        </w:tabs>
        <w:ind w:left="1418" w:hanging="709"/>
        <w:rPr>
          <w:sz w:val="22"/>
          <w:szCs w:val="22"/>
        </w:rPr>
      </w:pPr>
      <w:r w:rsidRPr="005F001F">
        <w:rPr>
          <w:sz w:val="22"/>
          <w:szCs w:val="22"/>
        </w:rPr>
        <w:lastRenderedPageBreak/>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2B744B" w:rsidP="00F30305">
      <w:pPr>
        <w:pStyle w:val="Textodst1sl"/>
        <w:ind w:left="1418" w:hanging="709"/>
        <w:rPr>
          <w:sz w:val="22"/>
          <w:szCs w:val="22"/>
        </w:rPr>
      </w:pPr>
      <w:r>
        <w:rPr>
          <w:sz w:val="22"/>
          <w:szCs w:val="22"/>
        </w:rPr>
        <w:t xml:space="preserve">A) Faktura pro KSÚS SK </w:t>
      </w:r>
      <w:r w:rsidR="00F30305" w:rsidRPr="007646F0">
        <w:rPr>
          <w:sz w:val="22"/>
          <w:szCs w:val="22"/>
        </w:rPr>
        <w:t xml:space="preserve">podle této Smlouvy budou </w:t>
      </w:r>
      <w:r w:rsidR="00DD1395">
        <w:rPr>
          <w:sz w:val="22"/>
          <w:szCs w:val="22"/>
        </w:rPr>
        <w:t>vystaven</w:t>
      </w:r>
      <w:r>
        <w:rPr>
          <w:sz w:val="22"/>
          <w:szCs w:val="22"/>
        </w:rPr>
        <w:t>a</w:t>
      </w:r>
      <w:r w:rsidR="00DD1395">
        <w:rPr>
          <w:sz w:val="22"/>
          <w:szCs w:val="22"/>
        </w:rPr>
        <w:t xml:space="preserve"> a </w:t>
      </w:r>
      <w:r w:rsidR="00F30305" w:rsidRPr="007646F0">
        <w:rPr>
          <w:sz w:val="22"/>
          <w:szCs w:val="22"/>
        </w:rPr>
        <w:t>zasílán</w:t>
      </w:r>
      <w:r>
        <w:rPr>
          <w:sz w:val="22"/>
          <w:szCs w:val="22"/>
        </w:rPr>
        <w:t>a</w:t>
      </w:r>
      <w:r w:rsidR="00F30305" w:rsidRPr="007646F0">
        <w:rPr>
          <w:sz w:val="22"/>
          <w:szCs w:val="22"/>
        </w:rPr>
        <w:t xml:space="preserve">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2B744B" w:rsidRDefault="002B744B" w:rsidP="00F30305">
      <w:pPr>
        <w:pStyle w:val="Textodst1sl"/>
        <w:numPr>
          <w:ilvl w:val="0"/>
          <w:numId w:val="0"/>
        </w:numPr>
        <w:ind w:left="1146"/>
        <w:rPr>
          <w:sz w:val="22"/>
          <w:szCs w:val="22"/>
        </w:rPr>
      </w:pPr>
    </w:p>
    <w:p w:rsidR="002B744B" w:rsidRPr="002B744B" w:rsidRDefault="002B744B" w:rsidP="002B744B">
      <w:pPr>
        <w:pStyle w:val="Textodst1sl"/>
        <w:numPr>
          <w:ilvl w:val="0"/>
          <w:numId w:val="0"/>
        </w:numPr>
        <w:ind w:left="1416"/>
        <w:rPr>
          <w:sz w:val="22"/>
          <w:szCs w:val="22"/>
        </w:rPr>
      </w:pPr>
      <w:r>
        <w:rPr>
          <w:sz w:val="22"/>
          <w:szCs w:val="22"/>
        </w:rPr>
        <w:t xml:space="preserve">b) Faktura </w:t>
      </w:r>
      <w:r w:rsidRPr="00A04F48">
        <w:rPr>
          <w:sz w:val="22"/>
          <w:szCs w:val="22"/>
        </w:rPr>
        <w:t xml:space="preserve"> </w:t>
      </w:r>
      <w:r>
        <w:rPr>
          <w:sz w:val="22"/>
          <w:szCs w:val="22"/>
        </w:rPr>
        <w:t xml:space="preserve">pro </w:t>
      </w:r>
      <w:r w:rsidRPr="002B744B">
        <w:rPr>
          <w:sz w:val="22"/>
          <w:szCs w:val="22"/>
        </w:rPr>
        <w:t>VaK Mladá Boleslav, a.s.</w:t>
      </w:r>
      <w:r>
        <w:rPr>
          <w:sz w:val="22"/>
          <w:szCs w:val="22"/>
        </w:rPr>
        <w:t xml:space="preserve"> podle této Smlouvy bude</w:t>
      </w:r>
      <w:r w:rsidRPr="00A04F48">
        <w:rPr>
          <w:sz w:val="22"/>
          <w:szCs w:val="22"/>
        </w:rPr>
        <w:t xml:space="preserve"> </w:t>
      </w:r>
      <w:r>
        <w:rPr>
          <w:sz w:val="22"/>
          <w:szCs w:val="22"/>
        </w:rPr>
        <w:t>vystavena a zasílána</w:t>
      </w:r>
      <w:r w:rsidRPr="00A04F48">
        <w:rPr>
          <w:sz w:val="22"/>
          <w:szCs w:val="22"/>
        </w:rPr>
        <w:t xml:space="preserve"> na následující adresu Objednatele:</w:t>
      </w:r>
      <w:r>
        <w:rPr>
          <w:sz w:val="22"/>
          <w:szCs w:val="22"/>
        </w:rPr>
        <w:t xml:space="preserve"> </w:t>
      </w:r>
      <w:r w:rsidRPr="002B744B">
        <w:rPr>
          <w:sz w:val="22"/>
          <w:szCs w:val="22"/>
        </w:rPr>
        <w:t>Čechova 1151, 293 22 Mladá Boleslav</w:t>
      </w:r>
    </w:p>
    <w:p w:rsidR="002B744B" w:rsidRPr="00A04F48" w:rsidRDefault="002B744B" w:rsidP="002B744B">
      <w:pPr>
        <w:pStyle w:val="Textodst1sl"/>
        <w:numPr>
          <w:ilvl w:val="0"/>
          <w:numId w:val="0"/>
        </w:numPr>
        <w:ind w:left="1418"/>
        <w:rPr>
          <w:sz w:val="22"/>
          <w:szCs w:val="22"/>
        </w:rPr>
      </w:pPr>
      <w:r w:rsidRPr="00A04F48">
        <w:rPr>
          <w:sz w:val="22"/>
          <w:szCs w:val="22"/>
        </w:rPr>
        <w:t xml:space="preserve">Faktury je možné doručit také prostřednictvím datové schránky: </w:t>
      </w:r>
      <w:r w:rsidRPr="002B744B">
        <w:rPr>
          <w:sz w:val="22"/>
          <w:szCs w:val="22"/>
        </w:rPr>
        <w:t>5eigx2d</w:t>
      </w:r>
    </w:p>
    <w:p w:rsidR="002B744B" w:rsidRPr="00A04F48" w:rsidRDefault="002B744B" w:rsidP="002B744B">
      <w:pPr>
        <w:pStyle w:val="Textodst1sl"/>
        <w:numPr>
          <w:ilvl w:val="0"/>
          <w:numId w:val="0"/>
        </w:numPr>
        <w:ind w:left="1418"/>
        <w:rPr>
          <w:sz w:val="22"/>
          <w:szCs w:val="22"/>
        </w:rPr>
      </w:pPr>
      <w:r w:rsidRPr="00A04F48">
        <w:rPr>
          <w:sz w:val="22"/>
          <w:szCs w:val="22"/>
        </w:rPr>
        <w:t xml:space="preserve">nebo e-mailem na adresu:        </w:t>
      </w:r>
      <w:r>
        <w:rPr>
          <w:sz w:val="22"/>
          <w:szCs w:val="22"/>
        </w:rPr>
        <w:t>mail@</w:t>
      </w:r>
      <w:r w:rsidRPr="002B744B">
        <w:rPr>
          <w:sz w:val="22"/>
          <w:szCs w:val="22"/>
        </w:rPr>
        <w:t>vakmb</w:t>
      </w:r>
      <w:r>
        <w:rPr>
          <w:sz w:val="22"/>
          <w:szCs w:val="22"/>
        </w:rPr>
        <w:t>.</w:t>
      </w:r>
      <w:r w:rsidRPr="002B744B">
        <w:rPr>
          <w:sz w:val="22"/>
          <w:szCs w:val="22"/>
        </w:rPr>
        <w:t>cz</w:t>
      </w:r>
    </w:p>
    <w:p w:rsidR="002B744B" w:rsidRDefault="002B744B" w:rsidP="002B744B">
      <w:pPr>
        <w:pStyle w:val="Textodst1sl"/>
        <w:numPr>
          <w:ilvl w:val="0"/>
          <w:numId w:val="0"/>
        </w:numPr>
        <w:ind w:left="1146"/>
        <w:rPr>
          <w:sz w:val="22"/>
          <w:szCs w:val="22"/>
        </w:rPr>
      </w:pPr>
      <w:r w:rsidRPr="00A04F48">
        <w:rPr>
          <w:sz w:val="22"/>
          <w:szCs w:val="22"/>
        </w:rPr>
        <w:t xml:space="preserve">     a to ve formátu pdf/A naskenované černobíle.</w:t>
      </w:r>
    </w:p>
    <w:p w:rsidR="002B744B" w:rsidRDefault="002B744B" w:rsidP="00F30305">
      <w:pPr>
        <w:pStyle w:val="Textodst1sl"/>
        <w:numPr>
          <w:ilvl w:val="0"/>
          <w:numId w:val="0"/>
        </w:numPr>
        <w:ind w:left="1146"/>
        <w:rPr>
          <w:sz w:val="22"/>
          <w:szCs w:val="22"/>
        </w:rPr>
      </w:pP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F04838" w:rsidRDefault="00740FA1" w:rsidP="003F25B1">
      <w:pPr>
        <w:pStyle w:val="Textodst1sl"/>
        <w:numPr>
          <w:ilvl w:val="0"/>
          <w:numId w:val="18"/>
        </w:numPr>
        <w:rPr>
          <w:sz w:val="22"/>
          <w:szCs w:val="22"/>
        </w:rPr>
      </w:pPr>
      <w:r>
        <w:rPr>
          <w:sz w:val="22"/>
          <w:szCs w:val="22"/>
        </w:rPr>
        <w:t>60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 xml:space="preserve">Lhůta pro odstranění reklamovaných vad činí 15 dnů ode dne obdržení reklamace Zhotovitelem, není-li smluvními stranami při zohlednění povahy a rozsahu vady sjednána lhůta odlišná. Jedná-li se o vadu bránící řádnému užívání nebo o vadu </w:t>
      </w:r>
      <w:r w:rsidRPr="008D2839">
        <w:rPr>
          <w:sz w:val="22"/>
          <w:szCs w:val="22"/>
        </w:rPr>
        <w:lastRenderedPageBreak/>
        <w:t>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3C6092" w:rsidRPr="00F04838" w:rsidRDefault="005A63FB" w:rsidP="003C6092">
      <w:pPr>
        <w:pStyle w:val="Textodst1sl"/>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r w:rsidR="0038024A"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0038024A" w:rsidRPr="008D2839">
        <w:rPr>
          <w:sz w:val="22"/>
          <w:szCs w:val="22"/>
        </w:rPr>
        <w:t>zaplacením smluvní pokuty rozumí její připsání, resp. připsání odpovídající částky na bankovní účet Objednatele. Objednatel je oprávněn svou pohledávku z titulu smluvní pokuty započíst</w:t>
      </w:r>
      <w:r w:rsidR="0038024A" w:rsidRPr="0038024A">
        <w:rPr>
          <w:sz w:val="22"/>
          <w:szCs w:val="22"/>
        </w:rPr>
        <w:t xml:space="preserve"> oproti splatné pohledávce Zhotovitele na Cenu Díla. Smluvní strany shodně prohlašují, že s ohledem na charakter povinností, jejichž splnění je zajištěno smluvními pokutami, </w:t>
      </w:r>
      <w:r w:rsidR="0038024A" w:rsidRPr="0038024A">
        <w:rPr>
          <w:sz w:val="22"/>
          <w:szCs w:val="22"/>
        </w:rPr>
        <w:lastRenderedPageBreak/>
        <w:t>a dále s ohledem na charakter Díla považují smluvní pokuty uvedené v tomto článku za přiměřené.</w:t>
      </w:r>
    </w:p>
    <w:p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FB7318" w:rsidRPr="00F04838" w:rsidRDefault="00FB7318" w:rsidP="00FB731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rsidR="00FB7318" w:rsidRPr="00F04838" w:rsidRDefault="00FB7318" w:rsidP="003C6092">
      <w:pPr>
        <w:pStyle w:val="Textodst1sl"/>
        <w:rPr>
          <w:bCs/>
          <w:sz w:val="22"/>
          <w:szCs w:val="22"/>
        </w:rPr>
      </w:pPr>
    </w:p>
    <w:p w:rsidR="003C6092" w:rsidRDefault="0038024A" w:rsidP="003C6092">
      <w:pPr>
        <w:pStyle w:val="Textodst1sl"/>
        <w:numPr>
          <w:ilvl w:val="0"/>
          <w:numId w:val="0"/>
        </w:numPr>
        <w:ind w:left="1430"/>
        <w:rPr>
          <w:bCs/>
          <w:sz w:val="22"/>
          <w:szCs w:val="22"/>
        </w:rPr>
      </w:pPr>
      <w:r w:rsidRPr="0038024A">
        <w:rPr>
          <w:bCs/>
          <w:sz w:val="22"/>
          <w:szCs w:val="22"/>
        </w:rPr>
        <w:t xml:space="preserve">     </w:t>
      </w:r>
    </w:p>
    <w:p w:rsidR="007068A2" w:rsidRPr="00F04838" w:rsidRDefault="007068A2" w:rsidP="003C6092">
      <w:pPr>
        <w:pStyle w:val="Textodst1sl"/>
        <w:numPr>
          <w:ilvl w:val="0"/>
          <w:numId w:val="0"/>
        </w:numPr>
        <w:ind w:left="1430"/>
        <w:rPr>
          <w:bCs/>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Default="003C6092" w:rsidP="003C6092">
      <w:pPr>
        <w:pStyle w:val="Textodst1sl"/>
        <w:numPr>
          <w:ilvl w:val="0"/>
          <w:numId w:val="0"/>
        </w:numPr>
        <w:ind w:left="1430"/>
        <w:rPr>
          <w:sz w:val="22"/>
          <w:szCs w:val="22"/>
        </w:rPr>
      </w:pPr>
    </w:p>
    <w:p w:rsidR="007068A2" w:rsidRPr="00740FA1" w:rsidRDefault="007068A2" w:rsidP="007068A2">
      <w:pPr>
        <w:pStyle w:val="Textodst1sl"/>
        <w:numPr>
          <w:ilvl w:val="0"/>
          <w:numId w:val="0"/>
        </w:numPr>
        <w:ind w:left="1430"/>
        <w:jc w:val="center"/>
        <w:rPr>
          <w:b/>
          <w:sz w:val="22"/>
          <w:szCs w:val="22"/>
        </w:rPr>
      </w:pPr>
      <w:r w:rsidRPr="00740FA1">
        <w:rPr>
          <w:b/>
          <w:sz w:val="22"/>
          <w:szCs w:val="22"/>
        </w:rPr>
        <w:t>Článek 14.</w:t>
      </w:r>
    </w:p>
    <w:p w:rsidR="007068A2" w:rsidRPr="00740FA1" w:rsidRDefault="007068A2" w:rsidP="007068A2">
      <w:pPr>
        <w:pStyle w:val="Textodst1sl"/>
        <w:numPr>
          <w:ilvl w:val="0"/>
          <w:numId w:val="0"/>
        </w:numPr>
        <w:ind w:left="1430"/>
        <w:jc w:val="center"/>
        <w:rPr>
          <w:b/>
          <w:sz w:val="22"/>
          <w:szCs w:val="22"/>
        </w:rPr>
      </w:pPr>
      <w:r w:rsidRPr="00740FA1">
        <w:rPr>
          <w:b/>
          <w:sz w:val="22"/>
          <w:szCs w:val="22"/>
        </w:rPr>
        <w:t>Bankovní záruka za vady Díla</w:t>
      </w:r>
    </w:p>
    <w:p w:rsidR="007068A2" w:rsidRPr="00740FA1" w:rsidRDefault="007068A2" w:rsidP="007068A2">
      <w:pPr>
        <w:pStyle w:val="Textodst1sl"/>
        <w:numPr>
          <w:ilvl w:val="1"/>
          <w:numId w:val="70"/>
        </w:numPr>
        <w:ind w:left="1418" w:hanging="708"/>
        <w:rPr>
          <w:sz w:val="22"/>
          <w:szCs w:val="22"/>
        </w:rPr>
      </w:pPr>
      <w:r w:rsidRPr="00740FA1">
        <w:rPr>
          <w:sz w:val="22"/>
          <w:szCs w:val="22"/>
        </w:rPr>
        <w:t xml:space="preserve">Zhotovitel poskytne při podpisu Předávacího protokolu Objednateli bankovní záruku, v minimální výši </w:t>
      </w:r>
      <w:r w:rsidRPr="00740FA1">
        <w:rPr>
          <w:b/>
          <w:sz w:val="22"/>
          <w:szCs w:val="22"/>
        </w:rPr>
        <w:t>3,5 % z celkové ceny Díla</w:t>
      </w:r>
      <w:r w:rsidRPr="00740FA1">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rsidR="007068A2" w:rsidRPr="00740FA1" w:rsidRDefault="007068A2" w:rsidP="007068A2">
      <w:pPr>
        <w:pStyle w:val="Textodst1sl"/>
        <w:numPr>
          <w:ilvl w:val="1"/>
          <w:numId w:val="70"/>
        </w:numPr>
        <w:ind w:left="1418" w:hanging="708"/>
        <w:rPr>
          <w:sz w:val="22"/>
          <w:szCs w:val="22"/>
        </w:rPr>
      </w:pPr>
      <w:r w:rsidRPr="00740FA1">
        <w:rPr>
          <w:sz w:val="22"/>
          <w:szCs w:val="22"/>
        </w:rPr>
        <w:t>Právo z bankovní záruky je Objednatel oprávněn uplatnit v případech, že Zhotovitel nebude plnit své povinnosti vyplývající ze záruky za Dílo, ke kterým je ze Smlouvy povinen.</w:t>
      </w:r>
    </w:p>
    <w:p w:rsidR="007068A2" w:rsidRPr="00740FA1" w:rsidRDefault="007068A2" w:rsidP="007068A2">
      <w:pPr>
        <w:pStyle w:val="Textodst1sl"/>
        <w:numPr>
          <w:ilvl w:val="1"/>
          <w:numId w:val="70"/>
        </w:numPr>
        <w:ind w:left="1418" w:hanging="708"/>
        <w:rPr>
          <w:sz w:val="22"/>
          <w:szCs w:val="22"/>
        </w:rPr>
      </w:pPr>
      <w:r w:rsidRPr="00740FA1">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rsidR="007068A2" w:rsidRPr="00740FA1" w:rsidRDefault="007068A2" w:rsidP="007068A2">
      <w:pPr>
        <w:pStyle w:val="Textodst1sl"/>
        <w:numPr>
          <w:ilvl w:val="1"/>
          <w:numId w:val="70"/>
        </w:numPr>
        <w:ind w:left="1418" w:hanging="708"/>
        <w:rPr>
          <w:sz w:val="22"/>
          <w:szCs w:val="22"/>
        </w:rPr>
      </w:pPr>
      <w:r w:rsidRPr="00740FA1">
        <w:rPr>
          <w:sz w:val="22"/>
          <w:szCs w:val="22"/>
        </w:rPr>
        <w:t>Bankovní záruka zajišťuje řádné odstranění vad uplatněných Objednatelem vůči Zhotoviteli z titulu odpovědnosti za vady Díla v záruční době, přičemž platí, že:</w:t>
      </w:r>
    </w:p>
    <w:p w:rsidR="007068A2" w:rsidRPr="00740FA1" w:rsidRDefault="007068A2" w:rsidP="007068A2">
      <w:pPr>
        <w:pStyle w:val="Textodst1sl"/>
        <w:numPr>
          <w:ilvl w:val="0"/>
          <w:numId w:val="18"/>
        </w:numPr>
        <w:ind w:left="1560" w:hanging="142"/>
        <w:rPr>
          <w:sz w:val="22"/>
          <w:szCs w:val="22"/>
        </w:rPr>
      </w:pPr>
      <w:r w:rsidRPr="00740FA1">
        <w:rPr>
          <w:sz w:val="22"/>
          <w:szCs w:val="22"/>
        </w:rPr>
        <w:t>v případě jakékoli změny záruční doby je Zhotovitel povinen platnost bankovní záruky prodloužit tak, aby trvala po celou dobu záruční lhůty;</w:t>
      </w:r>
    </w:p>
    <w:p w:rsidR="007068A2" w:rsidRPr="00740FA1" w:rsidRDefault="007068A2" w:rsidP="007068A2">
      <w:pPr>
        <w:pStyle w:val="Textodst1sl"/>
        <w:numPr>
          <w:ilvl w:val="0"/>
          <w:numId w:val="18"/>
        </w:numPr>
        <w:ind w:left="1560" w:hanging="142"/>
        <w:rPr>
          <w:sz w:val="22"/>
          <w:szCs w:val="22"/>
        </w:rPr>
      </w:pPr>
      <w:r w:rsidRPr="00740FA1">
        <w:rPr>
          <w:sz w:val="22"/>
          <w:szCs w:val="22"/>
        </w:rPr>
        <w:t>právo ze záruky je Objednatel oprávněn uplatnit v případech, že Zhotovitel neodstranil vadu Díla způsobem a v době, k nimž je podle příslušných ustanovení Smlouvy k odstraňování vad v záruční lhůtě povinen;</w:t>
      </w:r>
    </w:p>
    <w:p w:rsidR="007068A2" w:rsidRPr="00740FA1" w:rsidRDefault="007068A2" w:rsidP="007068A2">
      <w:pPr>
        <w:pStyle w:val="Textodst1sl"/>
        <w:numPr>
          <w:ilvl w:val="0"/>
          <w:numId w:val="18"/>
        </w:numPr>
        <w:ind w:left="1560" w:hanging="142"/>
        <w:rPr>
          <w:sz w:val="22"/>
          <w:szCs w:val="22"/>
        </w:rPr>
      </w:pPr>
      <w:r w:rsidRPr="00740FA1">
        <w:rPr>
          <w:sz w:val="22"/>
          <w:szCs w:val="22"/>
        </w:rPr>
        <w:t>nepředložení bankovní záruky v požadovaném termínu je důvodem k nepřevzetí dokončeného Díla a uplatnění sankcí pro nedodržení termínu dokončení a předání Díla.</w:t>
      </w:r>
    </w:p>
    <w:p w:rsidR="007068A2" w:rsidRPr="00740FA1" w:rsidRDefault="007068A2" w:rsidP="007068A2">
      <w:pPr>
        <w:pStyle w:val="Textodst1sl"/>
        <w:numPr>
          <w:ilvl w:val="1"/>
          <w:numId w:val="70"/>
        </w:numPr>
        <w:ind w:left="1418" w:hanging="708"/>
        <w:rPr>
          <w:sz w:val="22"/>
          <w:szCs w:val="22"/>
        </w:rPr>
      </w:pPr>
      <w:r w:rsidRPr="00740FA1">
        <w:rPr>
          <w:sz w:val="22"/>
          <w:szCs w:val="22"/>
        </w:rPr>
        <w:t>Náklady na poskytnutí bankovní záruky a veškeré další výdaje vzniklé v souvislosti s plněním povinností dle tohoto článku nese Zhotovitel.</w:t>
      </w:r>
    </w:p>
    <w:p w:rsidR="007068A2" w:rsidRDefault="007068A2" w:rsidP="003C6092">
      <w:pPr>
        <w:pStyle w:val="Textodst1sl"/>
        <w:numPr>
          <w:ilvl w:val="0"/>
          <w:numId w:val="0"/>
        </w:numPr>
        <w:ind w:left="1430"/>
        <w:rPr>
          <w:sz w:val="22"/>
          <w:szCs w:val="22"/>
        </w:rPr>
      </w:pPr>
    </w:p>
    <w:p w:rsidR="007068A2" w:rsidRPr="00F04838" w:rsidRDefault="007068A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w:t>
      </w:r>
      <w:r w:rsidR="0038024A" w:rsidRPr="0038024A">
        <w:rPr>
          <w:sz w:val="22"/>
          <w:szCs w:val="22"/>
        </w:rPr>
        <w:lastRenderedPageBreak/>
        <w:t xml:space="preserve">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740FA1"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p>
    <w:p w:rsidR="00740FA1" w:rsidRDefault="00740FA1" w:rsidP="00740FA1">
      <w:pPr>
        <w:pStyle w:val="Textodst1sl"/>
        <w:numPr>
          <w:ilvl w:val="0"/>
          <w:numId w:val="0"/>
        </w:numPr>
        <w:ind w:left="993" w:firstLine="283"/>
        <w:jc w:val="left"/>
        <w:rPr>
          <w:b/>
          <w:bCs/>
        </w:rPr>
      </w:pPr>
      <w:r>
        <w:rPr>
          <w:b/>
          <w:bCs/>
        </w:rPr>
        <w:tab/>
        <w:t xml:space="preserve">    Kontakty KSÚS:</w:t>
      </w:r>
      <w:r>
        <w:rPr>
          <w:b/>
          <w:bCs/>
        </w:rPr>
        <w:tab/>
      </w:r>
    </w:p>
    <w:p w:rsidR="008237B3" w:rsidRPr="00D808C6" w:rsidRDefault="00740FA1" w:rsidP="00740FA1">
      <w:pPr>
        <w:pStyle w:val="Textodst1sl"/>
        <w:numPr>
          <w:ilvl w:val="0"/>
          <w:numId w:val="0"/>
        </w:numPr>
        <w:ind w:left="993" w:hanging="709"/>
        <w:jc w:val="left"/>
        <w:rPr>
          <w:sz w:val="22"/>
          <w:szCs w:val="22"/>
        </w:rPr>
      </w:pPr>
      <w:r>
        <w:rPr>
          <w:b/>
          <w:bCs/>
        </w:rPr>
        <w:tab/>
      </w:r>
      <w:r>
        <w:rPr>
          <w:b/>
          <w:bCs/>
        </w:rPr>
        <w:tab/>
        <w:t xml:space="preserve">    </w:t>
      </w:r>
      <w:r w:rsidR="00366176">
        <w:t>Ing. Jan Lichtneger, ředitel</w:t>
      </w:r>
    </w:p>
    <w:p w:rsidR="008237B3" w:rsidRPr="00D808C6" w:rsidRDefault="00740FA1" w:rsidP="00740FA1">
      <w:pPr>
        <w:pStyle w:val="Textodst1sl"/>
        <w:numPr>
          <w:ilvl w:val="0"/>
          <w:numId w:val="0"/>
        </w:numPr>
        <w:ind w:left="993" w:hanging="709"/>
        <w:jc w:val="left"/>
        <w:rPr>
          <w:sz w:val="22"/>
          <w:szCs w:val="22"/>
        </w:rPr>
      </w:pPr>
      <w:r>
        <w:rPr>
          <w:sz w:val="22"/>
          <w:szCs w:val="22"/>
        </w:rPr>
        <w:tab/>
      </w:r>
      <w:r>
        <w:rPr>
          <w:sz w:val="22"/>
          <w:szCs w:val="22"/>
        </w:rPr>
        <w:tab/>
        <w:t xml:space="preserve">     </w:t>
      </w:r>
      <w:r w:rsidR="008237B3" w:rsidRPr="00D808C6">
        <w:rPr>
          <w:sz w:val="22"/>
          <w:szCs w:val="22"/>
        </w:rPr>
        <w:t xml:space="preserve">email: </w:t>
      </w:r>
      <w:hyperlink r:id="rId12" w:history="1">
        <w:r w:rsidR="00366176">
          <w:rPr>
            <w:rStyle w:val="Hypertextovodkaz"/>
            <w:sz w:val="22"/>
            <w:szCs w:val="22"/>
          </w:rPr>
          <w:t>jan.lichtneger</w:t>
        </w:r>
        <w:r w:rsidR="00366176" w:rsidRPr="00D808C6">
          <w:rPr>
            <w:rStyle w:val="Hypertextovodkaz"/>
            <w:sz w:val="22"/>
            <w:szCs w:val="22"/>
          </w:rPr>
          <w:t>@ksus.cz</w:t>
        </w:r>
      </w:hyperlink>
    </w:p>
    <w:p w:rsidR="008237B3" w:rsidRPr="00D808C6" w:rsidRDefault="008237B3" w:rsidP="00740FA1">
      <w:pPr>
        <w:pStyle w:val="Textodst1sl"/>
        <w:numPr>
          <w:ilvl w:val="0"/>
          <w:numId w:val="0"/>
        </w:numPr>
        <w:ind w:left="993" w:hanging="709"/>
        <w:jc w:val="left"/>
        <w:rPr>
          <w:sz w:val="22"/>
          <w:szCs w:val="22"/>
        </w:rPr>
      </w:pPr>
      <w:r w:rsidRPr="00D808C6">
        <w:rPr>
          <w:sz w:val="22"/>
          <w:szCs w:val="22"/>
        </w:rPr>
        <w:tab/>
      </w:r>
      <w:r w:rsidRPr="00D808C6">
        <w:rPr>
          <w:sz w:val="22"/>
          <w:szCs w:val="22"/>
        </w:rPr>
        <w:tab/>
      </w:r>
      <w:r w:rsidRPr="00D808C6">
        <w:rPr>
          <w:sz w:val="22"/>
          <w:szCs w:val="22"/>
        </w:rPr>
        <w:tab/>
      </w:r>
    </w:p>
    <w:p w:rsidR="00740FA1" w:rsidRDefault="00740FA1" w:rsidP="00740FA1">
      <w:pPr>
        <w:ind w:left="709" w:hanging="283"/>
        <w:jc w:val="left"/>
        <w:rPr>
          <w:b/>
        </w:rPr>
      </w:pPr>
      <w:r>
        <w:rPr>
          <w:sz w:val="22"/>
          <w:szCs w:val="22"/>
        </w:rPr>
        <w:tab/>
      </w:r>
      <w:r>
        <w:rPr>
          <w:sz w:val="22"/>
          <w:szCs w:val="22"/>
        </w:rPr>
        <w:tab/>
      </w:r>
      <w:r w:rsidRPr="00241BA6">
        <w:rPr>
          <w:b/>
        </w:rPr>
        <w:t xml:space="preserve">Kontakty </w:t>
      </w:r>
      <w:r>
        <w:rPr>
          <w:b/>
        </w:rPr>
        <w:t>VaK</w:t>
      </w:r>
      <w:r w:rsidRPr="00241BA6">
        <w:rPr>
          <w:b/>
        </w:rPr>
        <w:t>:</w:t>
      </w:r>
    </w:p>
    <w:p w:rsidR="00740FA1" w:rsidRDefault="00740FA1" w:rsidP="00740FA1">
      <w:pPr>
        <w:ind w:left="709" w:hanging="283"/>
        <w:jc w:val="left"/>
      </w:pPr>
      <w:r>
        <w:rPr>
          <w:b/>
        </w:rPr>
        <w:tab/>
      </w:r>
      <w:r>
        <w:rPr>
          <w:b/>
        </w:rPr>
        <w:tab/>
      </w:r>
      <w:r>
        <w:t>Ing. Tomáš Žitný</w:t>
      </w:r>
      <w:r w:rsidRPr="00C83339">
        <w:t xml:space="preserve">, </w:t>
      </w:r>
    </w:p>
    <w:p w:rsidR="00740FA1" w:rsidRDefault="00740FA1" w:rsidP="00740FA1">
      <w:pPr>
        <w:ind w:left="709" w:hanging="283"/>
        <w:jc w:val="left"/>
      </w:pPr>
      <w:r>
        <w:tab/>
      </w:r>
      <w:r>
        <w:tab/>
      </w:r>
      <w:r w:rsidRPr="00C83339">
        <w:t>tel:</w:t>
      </w:r>
      <w:r>
        <w:t xml:space="preserve"> 603 245 537,</w:t>
      </w:r>
    </w:p>
    <w:p w:rsidR="00740FA1" w:rsidRDefault="00740FA1" w:rsidP="00740FA1">
      <w:pPr>
        <w:ind w:left="709" w:hanging="283"/>
        <w:jc w:val="left"/>
        <w:rPr>
          <w:rStyle w:val="Hypertextovodkaz"/>
        </w:rPr>
      </w:pPr>
      <w:r>
        <w:tab/>
      </w:r>
      <w:r>
        <w:tab/>
      </w:r>
      <w:hyperlink r:id="rId13" w:history="1">
        <w:r w:rsidRPr="00E678C6">
          <w:rPr>
            <w:rStyle w:val="Hypertextovodkaz"/>
          </w:rPr>
          <w:t>tzitny@vakmb.cz</w:t>
        </w:r>
      </w:hyperlink>
      <w:r>
        <w:t xml:space="preserve"> </w:t>
      </w:r>
      <w:r>
        <w:rPr>
          <w:rStyle w:val="Hypertextovodkaz"/>
        </w:rPr>
        <w:t xml:space="preserve"> </w:t>
      </w:r>
    </w:p>
    <w:p w:rsidR="00740FA1" w:rsidRDefault="00740FA1" w:rsidP="00740FA1">
      <w:pPr>
        <w:ind w:left="709" w:hanging="283"/>
        <w:jc w:val="left"/>
        <w:rPr>
          <w:rStyle w:val="Hypertextovodkaz"/>
        </w:rPr>
      </w:pPr>
    </w:p>
    <w:p w:rsidR="00740FA1" w:rsidRDefault="00740FA1" w:rsidP="00740FA1">
      <w:pPr>
        <w:ind w:left="709" w:hanging="283"/>
        <w:jc w:val="left"/>
        <w:rPr>
          <w:rStyle w:val="Hypertextovodkaz"/>
          <w:color w:val="auto"/>
          <w:u w:val="none"/>
        </w:rPr>
      </w:pPr>
      <w:r>
        <w:rPr>
          <w:rStyle w:val="Hypertextovodkaz"/>
          <w:color w:val="auto"/>
          <w:u w:val="none"/>
        </w:rPr>
        <w:tab/>
      </w:r>
      <w:r>
        <w:rPr>
          <w:rStyle w:val="Hypertextovodkaz"/>
          <w:color w:val="auto"/>
          <w:u w:val="none"/>
        </w:rPr>
        <w:tab/>
      </w:r>
      <w:r w:rsidRPr="00740FA1">
        <w:rPr>
          <w:rStyle w:val="Hypertextovodkaz"/>
          <w:color w:val="auto"/>
          <w:u w:val="none"/>
        </w:rPr>
        <w:t xml:space="preserve">Ing. Miloš Kafluk, </w:t>
      </w:r>
    </w:p>
    <w:p w:rsidR="00740FA1" w:rsidRDefault="00740FA1" w:rsidP="00740FA1">
      <w:pPr>
        <w:ind w:left="709" w:hanging="283"/>
        <w:jc w:val="left"/>
        <w:rPr>
          <w:rStyle w:val="Hypertextovodkaz"/>
          <w:color w:val="auto"/>
          <w:u w:val="none"/>
        </w:rPr>
      </w:pPr>
      <w:r>
        <w:rPr>
          <w:rStyle w:val="Hypertextovodkaz"/>
          <w:color w:val="auto"/>
          <w:u w:val="none"/>
        </w:rPr>
        <w:tab/>
      </w:r>
      <w:r>
        <w:rPr>
          <w:rStyle w:val="Hypertextovodkaz"/>
          <w:color w:val="auto"/>
          <w:u w:val="none"/>
        </w:rPr>
        <w:tab/>
      </w:r>
      <w:r w:rsidRPr="00740FA1">
        <w:rPr>
          <w:rStyle w:val="Hypertextovodkaz"/>
          <w:color w:val="auto"/>
          <w:u w:val="none"/>
        </w:rPr>
        <w:t xml:space="preserve">tel: 603 245 534, </w:t>
      </w:r>
    </w:p>
    <w:p w:rsidR="00740FA1" w:rsidRDefault="00740FA1" w:rsidP="00740FA1">
      <w:pPr>
        <w:ind w:left="709" w:hanging="283"/>
        <w:jc w:val="left"/>
        <w:rPr>
          <w:sz w:val="22"/>
          <w:szCs w:val="22"/>
        </w:rPr>
      </w:pPr>
      <w:r>
        <w:rPr>
          <w:rStyle w:val="Hypertextovodkaz"/>
          <w:color w:val="auto"/>
          <w:u w:val="none"/>
        </w:rPr>
        <w:tab/>
      </w:r>
      <w:r>
        <w:rPr>
          <w:rStyle w:val="Hypertextovodkaz"/>
          <w:color w:val="auto"/>
          <w:u w:val="none"/>
        </w:rPr>
        <w:tab/>
      </w:r>
      <w:hyperlink r:id="rId14" w:history="1">
        <w:r w:rsidRPr="00740FA1">
          <w:rPr>
            <w:rStyle w:val="Hypertextovodkaz"/>
            <w:color w:val="auto"/>
            <w:u w:val="none"/>
          </w:rPr>
          <w:t>mkafluk@vakmb.cz</w:t>
        </w:r>
      </w:hyperlink>
      <w:r w:rsidRPr="00740FA1">
        <w:rPr>
          <w:rStyle w:val="Hypertextovodkaz"/>
          <w:color w:val="auto"/>
          <w:u w:val="none"/>
        </w:rPr>
        <w:t xml:space="preserve"> </w:t>
      </w:r>
    </w:p>
    <w:p w:rsidR="003C6092" w:rsidRDefault="00740FA1" w:rsidP="00740FA1">
      <w:pPr>
        <w:pStyle w:val="Textodst1sl"/>
        <w:numPr>
          <w:ilvl w:val="0"/>
          <w:numId w:val="0"/>
        </w:numPr>
        <w:ind w:left="993" w:hanging="284"/>
        <w:jc w:val="left"/>
        <w:rPr>
          <w:sz w:val="22"/>
          <w:szCs w:val="22"/>
        </w:rPr>
      </w:pPr>
      <w:r>
        <w:rPr>
          <w:sz w:val="22"/>
          <w:szCs w:val="22"/>
        </w:rPr>
        <w:tab/>
      </w:r>
    </w:p>
    <w:p w:rsidR="00021B65" w:rsidRDefault="0038024A" w:rsidP="00740FA1">
      <w:pPr>
        <w:pStyle w:val="Textodst1sl"/>
        <w:numPr>
          <w:ilvl w:val="0"/>
          <w:numId w:val="0"/>
        </w:numPr>
        <w:ind w:left="993" w:hanging="284"/>
        <w:jc w:val="left"/>
        <w:rPr>
          <w:sz w:val="22"/>
          <w:szCs w:val="22"/>
        </w:rPr>
      </w:pPr>
      <w:r w:rsidRPr="00021B65">
        <w:rPr>
          <w:sz w:val="22"/>
          <w:szCs w:val="22"/>
        </w:rPr>
        <w:tab/>
      </w:r>
      <w:r w:rsidR="00740FA1">
        <w:rPr>
          <w:sz w:val="22"/>
          <w:szCs w:val="22"/>
        </w:rPr>
        <w:tab/>
      </w:r>
      <w:r w:rsidRPr="00021B65">
        <w:rPr>
          <w:sz w:val="22"/>
          <w:szCs w:val="22"/>
        </w:rPr>
        <w:t>ve věcech technických:</w:t>
      </w:r>
      <w:r w:rsidR="00D808C6" w:rsidRPr="00021B65">
        <w:rPr>
          <w:sz w:val="22"/>
          <w:szCs w:val="22"/>
        </w:rPr>
        <w:t xml:space="preserve"> </w:t>
      </w:r>
    </w:p>
    <w:p w:rsidR="00740FA1" w:rsidRDefault="00740FA1" w:rsidP="00740FA1">
      <w:pPr>
        <w:ind w:left="993" w:hanging="284"/>
        <w:jc w:val="left"/>
        <w:rPr>
          <w:sz w:val="22"/>
          <w:szCs w:val="22"/>
        </w:rPr>
      </w:pPr>
      <w:r>
        <w:rPr>
          <w:sz w:val="22"/>
          <w:szCs w:val="22"/>
        </w:rPr>
        <w:tab/>
      </w:r>
      <w:r>
        <w:rPr>
          <w:sz w:val="22"/>
          <w:szCs w:val="22"/>
        </w:rPr>
        <w:tab/>
      </w:r>
    </w:p>
    <w:p w:rsidR="00740FA1" w:rsidRDefault="00740FA1" w:rsidP="00740FA1">
      <w:pPr>
        <w:ind w:left="993" w:hanging="284"/>
        <w:jc w:val="left"/>
        <w:rPr>
          <w:b/>
          <w:bCs/>
        </w:rPr>
      </w:pPr>
      <w:r>
        <w:rPr>
          <w:sz w:val="22"/>
          <w:szCs w:val="22"/>
        </w:rPr>
        <w:tab/>
      </w:r>
      <w:r>
        <w:rPr>
          <w:sz w:val="22"/>
          <w:szCs w:val="22"/>
        </w:rPr>
        <w:tab/>
      </w:r>
      <w:r>
        <w:rPr>
          <w:b/>
          <w:bCs/>
        </w:rPr>
        <w:t>Kontakty KSÚS:</w:t>
      </w:r>
    </w:p>
    <w:p w:rsidR="00740FA1" w:rsidRDefault="00740FA1" w:rsidP="00740FA1">
      <w:pPr>
        <w:ind w:left="993" w:hanging="284"/>
        <w:jc w:val="left"/>
      </w:pPr>
      <w:r>
        <w:tab/>
      </w:r>
      <w:r>
        <w:tab/>
        <w:t xml:space="preserve">Lenka Chmelová, vedoucí </w:t>
      </w:r>
      <w:r w:rsidRPr="00204991">
        <w:t xml:space="preserve">oblasti Mnichovo Hradiště, </w:t>
      </w:r>
    </w:p>
    <w:p w:rsidR="00740FA1" w:rsidRPr="00204991" w:rsidRDefault="00740FA1" w:rsidP="00740FA1">
      <w:pPr>
        <w:ind w:left="993" w:hanging="284"/>
        <w:jc w:val="left"/>
      </w:pPr>
      <w:r>
        <w:tab/>
      </w:r>
      <w:r>
        <w:tab/>
      </w:r>
      <w:r w:rsidRPr="00204991">
        <w:t>tel:736 623</w:t>
      </w:r>
      <w:r>
        <w:t> </w:t>
      </w:r>
      <w:r w:rsidRPr="00204991">
        <w:t>720</w:t>
      </w:r>
    </w:p>
    <w:p w:rsidR="00740FA1" w:rsidRPr="00204991" w:rsidRDefault="00740FA1" w:rsidP="00740FA1">
      <w:pPr>
        <w:ind w:left="993" w:hanging="284"/>
        <w:jc w:val="left"/>
        <w:rPr>
          <w:color w:val="0000FF"/>
          <w:u w:val="single"/>
        </w:rPr>
      </w:pPr>
      <w:r>
        <w:tab/>
      </w:r>
      <w:r>
        <w:tab/>
      </w:r>
      <w:r w:rsidRPr="00204991">
        <w:t xml:space="preserve">e-mail: </w:t>
      </w:r>
      <w:hyperlink r:id="rId15" w:history="1">
        <w:r w:rsidRPr="00204991">
          <w:rPr>
            <w:color w:val="0000FF"/>
            <w:u w:val="single"/>
          </w:rPr>
          <w:t>lenka.chmelova@ksus.cz</w:t>
        </w:r>
      </w:hyperlink>
    </w:p>
    <w:p w:rsidR="00740FA1" w:rsidRDefault="00740FA1" w:rsidP="00740FA1">
      <w:pPr>
        <w:ind w:left="993" w:hanging="284"/>
        <w:jc w:val="left"/>
      </w:pPr>
      <w:r>
        <w:tab/>
      </w:r>
      <w:r>
        <w:tab/>
      </w:r>
      <w:r>
        <w:tab/>
      </w:r>
    </w:p>
    <w:p w:rsidR="00740FA1" w:rsidRDefault="00740FA1" w:rsidP="00740FA1">
      <w:pPr>
        <w:ind w:left="993" w:hanging="284"/>
        <w:jc w:val="left"/>
      </w:pPr>
      <w:r>
        <w:tab/>
      </w:r>
      <w:r>
        <w:tab/>
      </w:r>
      <w:r w:rsidRPr="00204991">
        <w:t xml:space="preserve">Tomáš Pecka, silniční technik, </w:t>
      </w:r>
    </w:p>
    <w:p w:rsidR="00740FA1" w:rsidRDefault="00740FA1" w:rsidP="00740FA1">
      <w:pPr>
        <w:ind w:left="993" w:hanging="284"/>
        <w:jc w:val="left"/>
        <w:rPr>
          <w:color w:val="0000FF"/>
        </w:rPr>
      </w:pPr>
      <w:r>
        <w:tab/>
      </w:r>
      <w:r>
        <w:tab/>
      </w:r>
      <w:r w:rsidRPr="00204991">
        <w:t>tel.: 736 623 713,</w:t>
      </w:r>
      <w:r w:rsidRPr="002E3BDA">
        <w:rPr>
          <w:color w:val="0000FF"/>
        </w:rPr>
        <w:t xml:space="preserve"> </w:t>
      </w:r>
    </w:p>
    <w:p w:rsidR="00740FA1" w:rsidRDefault="00740FA1" w:rsidP="00740FA1">
      <w:pPr>
        <w:ind w:left="993" w:hanging="284"/>
        <w:jc w:val="left"/>
        <w:rPr>
          <w:color w:val="0000FF"/>
          <w:u w:val="single"/>
        </w:rPr>
      </w:pPr>
      <w:r>
        <w:rPr>
          <w:color w:val="0000FF"/>
        </w:rPr>
        <w:tab/>
      </w:r>
      <w:r>
        <w:rPr>
          <w:color w:val="0000FF"/>
        </w:rPr>
        <w:tab/>
      </w:r>
      <w:r w:rsidRPr="002E3BDA">
        <w:t>email:</w:t>
      </w:r>
      <w:r w:rsidRPr="002E3BDA">
        <w:rPr>
          <w:u w:val="single"/>
        </w:rPr>
        <w:t xml:space="preserve"> </w:t>
      </w:r>
      <w:hyperlink r:id="rId16" w:history="1">
        <w:r w:rsidRPr="00204991">
          <w:rPr>
            <w:color w:val="0000FF"/>
            <w:u w:val="single"/>
          </w:rPr>
          <w:t>tomas.pecka@ksus.cz</w:t>
        </w:r>
      </w:hyperlink>
    </w:p>
    <w:p w:rsidR="00740FA1" w:rsidRPr="00217FE6" w:rsidRDefault="00740FA1" w:rsidP="00740FA1">
      <w:pPr>
        <w:ind w:left="993" w:hanging="284"/>
        <w:jc w:val="left"/>
        <w:rPr>
          <w:color w:val="0000FF"/>
          <w:u w:val="single"/>
        </w:rPr>
      </w:pPr>
    </w:p>
    <w:p w:rsidR="00740FA1" w:rsidRDefault="00740FA1" w:rsidP="00740FA1">
      <w:pPr>
        <w:ind w:left="993" w:hanging="284"/>
        <w:jc w:val="left"/>
      </w:pPr>
      <w:r>
        <w:tab/>
      </w:r>
      <w:r>
        <w:tab/>
        <w:t>Petra Bartoníčková</w:t>
      </w:r>
      <w:r w:rsidRPr="00204991">
        <w:t>, spr</w:t>
      </w:r>
      <w:r>
        <w:t xml:space="preserve">ávní cestmistr, </w:t>
      </w:r>
    </w:p>
    <w:p w:rsidR="00740FA1" w:rsidRDefault="00740FA1" w:rsidP="00740FA1">
      <w:pPr>
        <w:ind w:left="993" w:hanging="284"/>
        <w:jc w:val="left"/>
      </w:pPr>
      <w:r>
        <w:tab/>
      </w:r>
      <w:r>
        <w:tab/>
        <w:t>tel: 736 623 733</w:t>
      </w:r>
      <w:r w:rsidRPr="00204991">
        <w:t xml:space="preserve">, </w:t>
      </w:r>
    </w:p>
    <w:p w:rsidR="00740FA1" w:rsidRDefault="00740FA1" w:rsidP="00740FA1">
      <w:pPr>
        <w:ind w:left="993" w:hanging="284"/>
        <w:jc w:val="left"/>
        <w:rPr>
          <w:rStyle w:val="Hypertextovodkaz"/>
        </w:rPr>
      </w:pPr>
      <w:r>
        <w:tab/>
      </w:r>
      <w:r>
        <w:tab/>
      </w:r>
      <w:r w:rsidRPr="00204991">
        <w:t xml:space="preserve">email: </w:t>
      </w:r>
      <w:hyperlink r:id="rId17" w:history="1">
        <w:r w:rsidRPr="00E678C6">
          <w:rPr>
            <w:rStyle w:val="Hypertextovodkaz"/>
          </w:rPr>
          <w:t>petra.bartonickova@ksus.cz</w:t>
        </w:r>
      </w:hyperlink>
    </w:p>
    <w:p w:rsidR="00740FA1" w:rsidRPr="00204991" w:rsidRDefault="00740FA1" w:rsidP="00740FA1">
      <w:pPr>
        <w:ind w:left="993" w:hanging="284"/>
        <w:jc w:val="left"/>
        <w:rPr>
          <w:color w:val="0000FF"/>
          <w:u w:val="single"/>
        </w:rPr>
      </w:pPr>
    </w:p>
    <w:p w:rsidR="00740FA1" w:rsidRDefault="00740FA1" w:rsidP="00740FA1">
      <w:pPr>
        <w:ind w:left="993" w:hanging="284"/>
        <w:jc w:val="left"/>
      </w:pPr>
      <w:r>
        <w:tab/>
      </w:r>
      <w:r>
        <w:tab/>
        <w:t xml:space="preserve">Petr Valkoun, provozní cestmistr, </w:t>
      </w:r>
    </w:p>
    <w:p w:rsidR="00740FA1" w:rsidRDefault="00740FA1" w:rsidP="00740FA1">
      <w:pPr>
        <w:ind w:left="993" w:hanging="284"/>
        <w:jc w:val="left"/>
      </w:pPr>
      <w:r>
        <w:tab/>
      </w:r>
      <w:r>
        <w:tab/>
        <w:t xml:space="preserve">tel: 736 623 715, </w:t>
      </w:r>
    </w:p>
    <w:p w:rsidR="00740FA1" w:rsidRDefault="00740FA1" w:rsidP="00740FA1">
      <w:pPr>
        <w:ind w:left="993" w:hanging="284"/>
        <w:jc w:val="left"/>
        <w:rPr>
          <w:rStyle w:val="Hypertextovodkaz"/>
        </w:rPr>
      </w:pPr>
      <w:r>
        <w:tab/>
      </w:r>
      <w:r>
        <w:tab/>
        <w:t xml:space="preserve">email: </w:t>
      </w:r>
      <w:hyperlink r:id="rId18" w:history="1">
        <w:r w:rsidRPr="00E678C6">
          <w:rPr>
            <w:rStyle w:val="Hypertextovodkaz"/>
          </w:rPr>
          <w:t>petr.valkoun@ksus.cz</w:t>
        </w:r>
      </w:hyperlink>
    </w:p>
    <w:p w:rsidR="00740FA1" w:rsidRDefault="00740FA1" w:rsidP="00740FA1">
      <w:pPr>
        <w:ind w:left="993" w:hanging="284"/>
        <w:jc w:val="left"/>
      </w:pPr>
    </w:p>
    <w:p w:rsidR="00740FA1" w:rsidRDefault="00740FA1" w:rsidP="00740FA1">
      <w:pPr>
        <w:ind w:left="993" w:hanging="284"/>
        <w:jc w:val="left"/>
      </w:pPr>
      <w:r>
        <w:tab/>
      </w:r>
      <w:r>
        <w:tab/>
        <w:t xml:space="preserve">Karel Sulek, </w:t>
      </w:r>
      <w:r w:rsidRPr="006904CB">
        <w:t>zástupce vedoucího oblasti Mnichovo Hradiště</w:t>
      </w:r>
      <w:r w:rsidRPr="00204991">
        <w:t xml:space="preserve">, </w:t>
      </w:r>
    </w:p>
    <w:p w:rsidR="00740FA1" w:rsidRDefault="00740FA1" w:rsidP="00740FA1">
      <w:pPr>
        <w:ind w:left="993" w:hanging="284"/>
        <w:jc w:val="left"/>
      </w:pPr>
      <w:r>
        <w:tab/>
      </w:r>
      <w:r>
        <w:tab/>
      </w:r>
      <w:r w:rsidRPr="00204991">
        <w:t>tel.: 602 739 774,</w:t>
      </w:r>
      <w:r>
        <w:t xml:space="preserve"> </w:t>
      </w:r>
    </w:p>
    <w:p w:rsidR="00740FA1" w:rsidRPr="006904CB" w:rsidRDefault="00740FA1" w:rsidP="00740FA1">
      <w:pPr>
        <w:ind w:left="993" w:hanging="284"/>
        <w:jc w:val="left"/>
      </w:pPr>
      <w:r>
        <w:tab/>
      </w:r>
      <w:r>
        <w:tab/>
      </w:r>
      <w:r w:rsidRPr="002E3BDA">
        <w:t xml:space="preserve">email: </w:t>
      </w:r>
      <w:hyperlink r:id="rId19" w:history="1">
        <w:r w:rsidRPr="00204991">
          <w:rPr>
            <w:color w:val="0000FF"/>
            <w:u w:val="single"/>
          </w:rPr>
          <w:t>karel.sulek@ksus.cz</w:t>
        </w:r>
      </w:hyperlink>
    </w:p>
    <w:p w:rsidR="00740FA1" w:rsidRDefault="00740FA1" w:rsidP="00740FA1">
      <w:pPr>
        <w:ind w:left="993" w:hanging="284"/>
        <w:jc w:val="left"/>
      </w:pPr>
    </w:p>
    <w:p w:rsidR="00740FA1" w:rsidRDefault="00740FA1" w:rsidP="00740FA1">
      <w:pPr>
        <w:ind w:left="993" w:hanging="284"/>
        <w:jc w:val="left"/>
        <w:rPr>
          <w:b/>
        </w:rPr>
      </w:pPr>
    </w:p>
    <w:p w:rsidR="00740FA1" w:rsidRDefault="00740FA1" w:rsidP="00740FA1">
      <w:pPr>
        <w:ind w:left="993" w:hanging="284"/>
        <w:jc w:val="left"/>
        <w:rPr>
          <w:b/>
        </w:rPr>
      </w:pPr>
      <w:r>
        <w:rPr>
          <w:b/>
        </w:rPr>
        <w:tab/>
      </w:r>
      <w:r>
        <w:rPr>
          <w:b/>
        </w:rPr>
        <w:tab/>
      </w:r>
      <w:r w:rsidRPr="00241BA6">
        <w:rPr>
          <w:b/>
        </w:rPr>
        <w:t xml:space="preserve">Kontakty </w:t>
      </w:r>
      <w:r>
        <w:rPr>
          <w:b/>
        </w:rPr>
        <w:t>VaK</w:t>
      </w:r>
      <w:r w:rsidRPr="00241BA6">
        <w:rPr>
          <w:b/>
        </w:rPr>
        <w:t>:</w:t>
      </w:r>
    </w:p>
    <w:p w:rsidR="00740FA1" w:rsidRDefault="00740FA1" w:rsidP="00740FA1">
      <w:pPr>
        <w:ind w:left="993" w:hanging="284"/>
        <w:jc w:val="left"/>
      </w:pPr>
      <w:r>
        <w:rPr>
          <w:b/>
        </w:rPr>
        <w:tab/>
      </w:r>
      <w:r>
        <w:rPr>
          <w:b/>
        </w:rPr>
        <w:tab/>
      </w:r>
      <w:r>
        <w:t>Ing. Tomáš Žitný</w:t>
      </w:r>
      <w:r w:rsidRPr="00C83339">
        <w:t xml:space="preserve">, </w:t>
      </w:r>
    </w:p>
    <w:p w:rsidR="00740FA1" w:rsidRDefault="00740FA1" w:rsidP="00740FA1">
      <w:pPr>
        <w:ind w:left="993" w:hanging="284"/>
        <w:jc w:val="left"/>
      </w:pPr>
      <w:r>
        <w:tab/>
      </w:r>
      <w:r>
        <w:tab/>
      </w:r>
      <w:r w:rsidRPr="00C83339">
        <w:t>tel:</w:t>
      </w:r>
      <w:r>
        <w:t xml:space="preserve"> 603 245 537,</w:t>
      </w:r>
    </w:p>
    <w:p w:rsidR="00740FA1" w:rsidRDefault="00740FA1" w:rsidP="00740FA1">
      <w:pPr>
        <w:ind w:left="993" w:hanging="284"/>
        <w:jc w:val="left"/>
        <w:rPr>
          <w:rStyle w:val="Hypertextovodkaz"/>
        </w:rPr>
      </w:pPr>
      <w:r>
        <w:tab/>
      </w:r>
      <w:r>
        <w:tab/>
      </w:r>
      <w:hyperlink r:id="rId20" w:history="1">
        <w:r w:rsidRPr="00E678C6">
          <w:rPr>
            <w:rStyle w:val="Hypertextovodkaz"/>
          </w:rPr>
          <w:t>tzitny@vakmb.cz</w:t>
        </w:r>
      </w:hyperlink>
      <w:r>
        <w:t xml:space="preserve"> </w:t>
      </w:r>
      <w:r>
        <w:rPr>
          <w:rStyle w:val="Hypertextovodkaz"/>
        </w:rPr>
        <w:t xml:space="preserve"> </w:t>
      </w:r>
    </w:p>
    <w:p w:rsidR="00740FA1" w:rsidRDefault="00740FA1" w:rsidP="00740FA1">
      <w:pPr>
        <w:ind w:left="993" w:hanging="284"/>
        <w:jc w:val="left"/>
        <w:rPr>
          <w:rStyle w:val="Hypertextovodkaz"/>
        </w:rPr>
      </w:pPr>
    </w:p>
    <w:p w:rsidR="00740FA1" w:rsidRDefault="00740FA1" w:rsidP="00740FA1">
      <w:pPr>
        <w:ind w:left="993" w:hanging="284"/>
        <w:jc w:val="left"/>
        <w:rPr>
          <w:rStyle w:val="Hypertextovodkaz"/>
          <w:color w:val="auto"/>
          <w:u w:val="none"/>
        </w:rPr>
      </w:pPr>
      <w:r>
        <w:rPr>
          <w:rStyle w:val="Hypertextovodkaz"/>
          <w:color w:val="auto"/>
          <w:u w:val="none"/>
        </w:rPr>
        <w:tab/>
      </w:r>
      <w:r>
        <w:rPr>
          <w:rStyle w:val="Hypertextovodkaz"/>
          <w:color w:val="auto"/>
          <w:u w:val="none"/>
        </w:rPr>
        <w:tab/>
      </w:r>
      <w:r w:rsidRPr="00740FA1">
        <w:rPr>
          <w:rStyle w:val="Hypertextovodkaz"/>
          <w:color w:val="auto"/>
          <w:u w:val="none"/>
        </w:rPr>
        <w:t xml:space="preserve">Ing. Miloš Kafluk, </w:t>
      </w:r>
    </w:p>
    <w:p w:rsidR="00740FA1" w:rsidRDefault="00740FA1" w:rsidP="00740FA1">
      <w:pPr>
        <w:ind w:left="993" w:hanging="284"/>
        <w:jc w:val="left"/>
        <w:rPr>
          <w:rStyle w:val="Hypertextovodkaz"/>
          <w:color w:val="auto"/>
          <w:u w:val="none"/>
        </w:rPr>
      </w:pPr>
      <w:r>
        <w:rPr>
          <w:rStyle w:val="Hypertextovodkaz"/>
          <w:color w:val="auto"/>
          <w:u w:val="none"/>
        </w:rPr>
        <w:lastRenderedPageBreak/>
        <w:tab/>
      </w:r>
      <w:r>
        <w:rPr>
          <w:rStyle w:val="Hypertextovodkaz"/>
          <w:color w:val="auto"/>
          <w:u w:val="none"/>
        </w:rPr>
        <w:tab/>
      </w:r>
      <w:r w:rsidRPr="00740FA1">
        <w:rPr>
          <w:rStyle w:val="Hypertextovodkaz"/>
          <w:color w:val="auto"/>
          <w:u w:val="none"/>
        </w:rPr>
        <w:t xml:space="preserve">tel: 603 245 534, </w:t>
      </w:r>
    </w:p>
    <w:p w:rsidR="00740FA1" w:rsidRDefault="00740FA1" w:rsidP="00740FA1">
      <w:pPr>
        <w:ind w:left="993" w:hanging="284"/>
        <w:jc w:val="left"/>
        <w:rPr>
          <w:sz w:val="22"/>
          <w:szCs w:val="22"/>
        </w:rPr>
      </w:pPr>
      <w:r>
        <w:rPr>
          <w:rStyle w:val="Hypertextovodkaz"/>
          <w:color w:val="auto"/>
          <w:u w:val="none"/>
        </w:rPr>
        <w:tab/>
      </w:r>
      <w:r>
        <w:rPr>
          <w:rStyle w:val="Hypertextovodkaz"/>
          <w:color w:val="auto"/>
          <w:u w:val="none"/>
        </w:rPr>
        <w:tab/>
      </w:r>
      <w:hyperlink r:id="rId21" w:history="1">
        <w:r w:rsidRPr="00740FA1">
          <w:rPr>
            <w:rStyle w:val="Hypertextovodkaz"/>
            <w:color w:val="auto"/>
            <w:u w:val="none"/>
          </w:rPr>
          <w:t>mkafluk@vakmb.cz</w:t>
        </w:r>
      </w:hyperlink>
      <w:r w:rsidRPr="00740FA1">
        <w:rPr>
          <w:rStyle w:val="Hypertextovodkaz"/>
          <w:color w:val="auto"/>
          <w:u w:val="none"/>
        </w:rPr>
        <w:t xml:space="preserve"> </w:t>
      </w:r>
    </w:p>
    <w:p w:rsidR="00740FA1" w:rsidRPr="00D808C6" w:rsidRDefault="00740FA1" w:rsidP="00740FA1">
      <w:pPr>
        <w:pStyle w:val="Textodst1sl"/>
        <w:numPr>
          <w:ilvl w:val="0"/>
          <w:numId w:val="0"/>
        </w:numPr>
        <w:ind w:left="709"/>
        <w:rPr>
          <w:sz w:val="22"/>
          <w:szCs w:val="22"/>
        </w:rPr>
      </w:pP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22"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366176" w:rsidP="00BD39AC">
      <w:pPr>
        <w:pStyle w:val="Textodst3psmena"/>
        <w:numPr>
          <w:ilvl w:val="0"/>
          <w:numId w:val="0"/>
        </w:numPr>
        <w:spacing w:line="276" w:lineRule="auto"/>
        <w:ind w:left="1753"/>
        <w:rPr>
          <w:rStyle w:val="Hypertextovodkaz"/>
          <w:sz w:val="22"/>
          <w:szCs w:val="22"/>
        </w:rPr>
      </w:pPr>
      <w:r>
        <w:t xml:space="preserve">Ing. Jan Lichtneger, ředitel </w:t>
      </w:r>
      <w:r w:rsidR="00FA764D" w:rsidRPr="00FA764D">
        <w:rPr>
          <w:sz w:val="22"/>
          <w:szCs w:val="22"/>
        </w:rPr>
        <w:t xml:space="preserve">email: </w:t>
      </w:r>
      <w:hyperlink r:id="rId23" w:history="1">
        <w:r>
          <w:rPr>
            <w:rStyle w:val="Hypertextovodkaz"/>
            <w:sz w:val="22"/>
            <w:szCs w:val="22"/>
          </w:rPr>
          <w:t>jan.lichtneger</w:t>
        </w:r>
        <w:r w:rsidRPr="00FA764D">
          <w:rPr>
            <w:rStyle w:val="Hypertextovodkaz"/>
            <w:sz w:val="22"/>
            <w:szCs w:val="22"/>
          </w:rPr>
          <w:t>@ksus.cz</w:t>
        </w:r>
      </w:hyperlink>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24" w:history="1">
        <w:r w:rsidRPr="00B80882">
          <w:rPr>
            <w:rStyle w:val="Hypertextovodkaz"/>
            <w:sz w:val="22"/>
            <w:szCs w:val="22"/>
          </w:rPr>
          <w:t>ales.cermak@ksus.cz</w:t>
        </w:r>
      </w:hyperlink>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w:t>
      </w:r>
      <w:r w:rsidR="00C12DA1">
        <w:rPr>
          <w:sz w:val="22"/>
          <w:szCs w:val="22"/>
        </w:rPr>
        <w:lastRenderedPageBreak/>
        <w:t xml:space="preserve">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3004FA">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78010E" w:rsidRDefault="0078010E" w:rsidP="002A4390">
      <w:pPr>
        <w:pStyle w:val="Textodst1sl"/>
        <w:numPr>
          <w:ilvl w:val="0"/>
          <w:numId w:val="0"/>
        </w:numPr>
        <w:ind w:left="1506"/>
        <w:rPr>
          <w:sz w:val="22"/>
          <w:szCs w:val="22"/>
        </w:rPr>
      </w:pP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366176" w:rsidP="00C73F04">
            <w:pPr>
              <w:keepNext/>
              <w:spacing w:before="80"/>
              <w:rPr>
                <w:sz w:val="22"/>
                <w:szCs w:val="22"/>
              </w:rPr>
            </w:pPr>
            <w:r>
              <w:t>Ing. Jan Lichtneger,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25"/>
          <w:footerReference w:type="default" r:id="rId26"/>
          <w:footerReference w:type="first" r:id="rId27"/>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9"/>
          <w:footerReference w:type="first" r:id="rId30"/>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31"/>
          <w:footerReference w:type="default" r:id="rId32"/>
          <w:headerReference w:type="first" r:id="rId33"/>
          <w:footerReference w:type="first" r:id="rId34"/>
          <w:type w:val="continuous"/>
          <w:pgSz w:w="11906" w:h="16838"/>
          <w:pgMar w:top="1417" w:right="1417" w:bottom="1417" w:left="1417" w:header="708" w:footer="708" w:gutter="0"/>
          <w:cols w:space="708"/>
          <w:titlePg/>
          <w:docGrid w:linePitch="360"/>
        </w:sectPr>
      </w:pPr>
    </w:p>
    <w:p w:rsidR="006D280F" w:rsidRPr="00AB13F5" w:rsidRDefault="006D280F" w:rsidP="006D280F">
      <w:pPr>
        <w:spacing w:before="1000" w:after="1200"/>
      </w:pP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6D280F" w:rsidRPr="00AB13F5" w:rsidRDefault="006D280F" w:rsidP="006D280F">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6D280F" w:rsidRPr="00AB13F5" w:rsidRDefault="006D280F" w:rsidP="006D280F">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6D280F" w:rsidRPr="000824D5" w:rsidRDefault="006D280F" w:rsidP="006D280F">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6D280F" w:rsidTr="00740FA1">
        <w:trPr>
          <w:trHeight w:val="363"/>
        </w:trPr>
        <w:tc>
          <w:tcPr>
            <w:tcW w:w="3061" w:type="dxa"/>
          </w:tcPr>
          <w:p w:rsidR="006D280F" w:rsidRDefault="006D280F" w:rsidP="00740FA1">
            <w:pPr>
              <w:pStyle w:val="Zhlav"/>
              <w:tabs>
                <w:tab w:val="clear" w:pos="4536"/>
                <w:tab w:val="clear" w:pos="9072"/>
              </w:tabs>
              <w:jc w:val="center"/>
              <w:rPr>
                <w:b/>
                <w:smallCaps/>
                <w:sz w:val="16"/>
                <w:u w:val="single"/>
              </w:rPr>
            </w:pPr>
            <w:r>
              <w:rPr>
                <w:b/>
                <w:smallCaps/>
                <w:sz w:val="16"/>
                <w:u w:val="single"/>
              </w:rPr>
              <w:t>Zpracovatel</w:t>
            </w:r>
          </w:p>
        </w:tc>
        <w:tc>
          <w:tcPr>
            <w:tcW w:w="3061" w:type="dxa"/>
          </w:tcPr>
          <w:p w:rsidR="006D280F" w:rsidRDefault="006D280F" w:rsidP="00740FA1">
            <w:pPr>
              <w:pStyle w:val="Zhlav"/>
              <w:tabs>
                <w:tab w:val="clear" w:pos="4536"/>
                <w:tab w:val="clear" w:pos="9072"/>
              </w:tabs>
              <w:jc w:val="center"/>
              <w:rPr>
                <w:b/>
                <w:smallCaps/>
                <w:sz w:val="16"/>
                <w:u w:val="single"/>
              </w:rPr>
            </w:pPr>
            <w:r>
              <w:rPr>
                <w:b/>
                <w:smallCaps/>
                <w:sz w:val="16"/>
                <w:u w:val="single"/>
              </w:rPr>
              <w:t>Garant</w:t>
            </w:r>
          </w:p>
        </w:tc>
        <w:tc>
          <w:tcPr>
            <w:tcW w:w="3061" w:type="dxa"/>
          </w:tcPr>
          <w:p w:rsidR="006D280F" w:rsidRDefault="006D280F" w:rsidP="00740FA1">
            <w:pPr>
              <w:pStyle w:val="Zhlav"/>
              <w:tabs>
                <w:tab w:val="clear" w:pos="4536"/>
                <w:tab w:val="clear" w:pos="9072"/>
              </w:tabs>
              <w:jc w:val="center"/>
              <w:rPr>
                <w:b/>
                <w:smallCaps/>
                <w:sz w:val="16"/>
                <w:u w:val="single"/>
              </w:rPr>
            </w:pPr>
            <w:r>
              <w:rPr>
                <w:b/>
                <w:smallCaps/>
                <w:sz w:val="16"/>
                <w:u w:val="single"/>
              </w:rPr>
              <w:t>správce dokumentace</w:t>
            </w:r>
          </w:p>
        </w:tc>
      </w:tr>
      <w:tr w:rsidR="006D280F" w:rsidTr="00740FA1">
        <w:tc>
          <w:tcPr>
            <w:tcW w:w="3061" w:type="dxa"/>
          </w:tcPr>
          <w:p w:rsidR="006D280F" w:rsidRDefault="006D280F" w:rsidP="00740FA1">
            <w:pPr>
              <w:pStyle w:val="Zhlav"/>
              <w:tabs>
                <w:tab w:val="clear" w:pos="4536"/>
                <w:tab w:val="clear" w:pos="9072"/>
              </w:tabs>
              <w:spacing w:before="40"/>
              <w:jc w:val="center"/>
              <w:rPr>
                <w:sz w:val="20"/>
              </w:rPr>
            </w:pPr>
            <w:r>
              <w:rPr>
                <w:sz w:val="20"/>
              </w:rPr>
              <w:t>Investiční náměstek</w:t>
            </w:r>
          </w:p>
        </w:tc>
        <w:tc>
          <w:tcPr>
            <w:tcW w:w="3061" w:type="dxa"/>
          </w:tcPr>
          <w:p w:rsidR="006D280F" w:rsidRDefault="006D280F" w:rsidP="00740FA1">
            <w:pPr>
              <w:pStyle w:val="Zhlav"/>
              <w:tabs>
                <w:tab w:val="clear" w:pos="4536"/>
                <w:tab w:val="clear" w:pos="9072"/>
              </w:tabs>
              <w:spacing w:before="40"/>
              <w:jc w:val="center"/>
              <w:rPr>
                <w:sz w:val="20"/>
              </w:rPr>
            </w:pPr>
            <w:r>
              <w:rPr>
                <w:sz w:val="20"/>
              </w:rPr>
              <w:t>Ředitel organizace</w:t>
            </w:r>
          </w:p>
        </w:tc>
        <w:tc>
          <w:tcPr>
            <w:tcW w:w="3061" w:type="dxa"/>
          </w:tcPr>
          <w:p w:rsidR="006D280F" w:rsidRDefault="006D280F" w:rsidP="00740FA1">
            <w:pPr>
              <w:pStyle w:val="Zhlav"/>
              <w:tabs>
                <w:tab w:val="clear" w:pos="4536"/>
                <w:tab w:val="clear" w:pos="9072"/>
              </w:tabs>
              <w:spacing w:before="40"/>
              <w:jc w:val="center"/>
              <w:rPr>
                <w:sz w:val="20"/>
              </w:rPr>
            </w:pPr>
            <w:r>
              <w:rPr>
                <w:sz w:val="20"/>
              </w:rPr>
              <w:t>Interní auditor</w:t>
            </w:r>
          </w:p>
        </w:tc>
      </w:tr>
      <w:tr w:rsidR="006D280F" w:rsidTr="00740FA1">
        <w:trPr>
          <w:trHeight w:val="309"/>
        </w:trPr>
        <w:tc>
          <w:tcPr>
            <w:tcW w:w="3061" w:type="dxa"/>
          </w:tcPr>
          <w:p w:rsidR="006D280F" w:rsidRPr="008A5AD4" w:rsidRDefault="006D280F" w:rsidP="00740FA1">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740FA1">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740FA1">
            <w:pPr>
              <w:pStyle w:val="Zhlav"/>
              <w:tabs>
                <w:tab w:val="clear" w:pos="4536"/>
                <w:tab w:val="clear" w:pos="9072"/>
              </w:tabs>
              <w:spacing w:before="80"/>
              <w:jc w:val="center"/>
              <w:rPr>
                <w:i/>
                <w:sz w:val="16"/>
                <w:szCs w:val="16"/>
              </w:rPr>
            </w:pPr>
            <w:r w:rsidRPr="008A5AD4">
              <w:rPr>
                <w:i/>
                <w:sz w:val="16"/>
              </w:rPr>
              <w:t>Jméno a příjmení</w:t>
            </w:r>
          </w:p>
        </w:tc>
      </w:tr>
      <w:tr w:rsidR="006D280F" w:rsidTr="00740FA1">
        <w:trPr>
          <w:trHeight w:val="990"/>
        </w:trPr>
        <w:tc>
          <w:tcPr>
            <w:tcW w:w="3061" w:type="dxa"/>
          </w:tcPr>
          <w:p w:rsidR="006D280F" w:rsidRPr="0028183F" w:rsidRDefault="006D280F" w:rsidP="00740FA1">
            <w:pPr>
              <w:pStyle w:val="Zhlav"/>
              <w:tabs>
                <w:tab w:val="clear" w:pos="4536"/>
                <w:tab w:val="clear" w:pos="9072"/>
              </w:tabs>
              <w:spacing w:before="40"/>
              <w:jc w:val="center"/>
              <w:rPr>
                <w:sz w:val="20"/>
              </w:rPr>
            </w:pPr>
            <w:r>
              <w:rPr>
                <w:sz w:val="20"/>
              </w:rPr>
              <w:t>Ing. Lukáš Svoboda</w:t>
            </w:r>
          </w:p>
        </w:tc>
        <w:tc>
          <w:tcPr>
            <w:tcW w:w="3061" w:type="dxa"/>
          </w:tcPr>
          <w:p w:rsidR="006D280F" w:rsidRPr="0028183F" w:rsidRDefault="006D280F" w:rsidP="00740FA1">
            <w:pPr>
              <w:pStyle w:val="Zhlav"/>
              <w:tabs>
                <w:tab w:val="clear" w:pos="4536"/>
                <w:tab w:val="clear" w:pos="9072"/>
              </w:tabs>
              <w:spacing w:before="40"/>
              <w:rPr>
                <w:sz w:val="20"/>
              </w:rPr>
            </w:pPr>
            <w:r>
              <w:rPr>
                <w:sz w:val="20"/>
              </w:rPr>
              <w:t xml:space="preserve">            Mgr. Zděnek Dvořák. MPA</w:t>
            </w:r>
          </w:p>
        </w:tc>
        <w:tc>
          <w:tcPr>
            <w:tcW w:w="3061" w:type="dxa"/>
          </w:tcPr>
          <w:p w:rsidR="006D280F" w:rsidRPr="0028183F" w:rsidRDefault="006D280F" w:rsidP="00740FA1">
            <w:pPr>
              <w:pStyle w:val="Zhlav"/>
              <w:tabs>
                <w:tab w:val="clear" w:pos="4536"/>
                <w:tab w:val="clear" w:pos="9072"/>
              </w:tabs>
              <w:spacing w:before="40"/>
              <w:jc w:val="center"/>
              <w:rPr>
                <w:sz w:val="20"/>
              </w:rPr>
            </w:pPr>
            <w:r w:rsidRPr="0028183F">
              <w:rPr>
                <w:sz w:val="20"/>
              </w:rPr>
              <w:t>Ing. Miloslav Štrobach</w:t>
            </w:r>
          </w:p>
        </w:tc>
      </w:tr>
    </w:tbl>
    <w:p w:rsidR="006D280F" w:rsidRDefault="006D280F" w:rsidP="006D280F">
      <w:pPr>
        <w:pStyle w:val="Zhlav"/>
        <w:tabs>
          <w:tab w:val="clear" w:pos="4536"/>
          <w:tab w:val="clear" w:pos="9072"/>
        </w:tabs>
        <w:spacing w:before="200"/>
        <w:jc w:val="center"/>
      </w:pPr>
    </w:p>
    <w:p w:rsidR="006D280F" w:rsidRDefault="006D280F" w:rsidP="006D280F">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6D280F" w:rsidTr="00740FA1">
        <w:trPr>
          <w:cantSplit/>
          <w:trHeight w:val="278"/>
        </w:trPr>
        <w:tc>
          <w:tcPr>
            <w:tcW w:w="4140" w:type="dxa"/>
            <w:gridSpan w:val="2"/>
          </w:tcPr>
          <w:p w:rsidR="006D280F" w:rsidRDefault="006D280F" w:rsidP="00740FA1">
            <w:pPr>
              <w:pStyle w:val="Zhlav"/>
              <w:tabs>
                <w:tab w:val="clear" w:pos="4536"/>
                <w:tab w:val="clear" w:pos="9072"/>
              </w:tabs>
              <w:jc w:val="center"/>
              <w:rPr>
                <w:b/>
                <w:smallCaps/>
                <w:sz w:val="16"/>
                <w:u w:val="single"/>
              </w:rPr>
            </w:pPr>
            <w:r>
              <w:rPr>
                <w:b/>
                <w:smallCaps/>
                <w:sz w:val="16"/>
                <w:u w:val="single"/>
              </w:rPr>
              <w:t>Schválil a vydal</w:t>
            </w:r>
          </w:p>
          <w:p w:rsidR="006D280F" w:rsidRDefault="006D280F" w:rsidP="00740FA1">
            <w:pPr>
              <w:pStyle w:val="Zhlav"/>
              <w:tabs>
                <w:tab w:val="clear" w:pos="4536"/>
                <w:tab w:val="clear" w:pos="9072"/>
              </w:tabs>
              <w:jc w:val="center"/>
              <w:rPr>
                <w:smallCaps/>
              </w:rPr>
            </w:pPr>
            <w:r>
              <w:rPr>
                <w:b/>
                <w:smallCaps/>
                <w:sz w:val="16"/>
                <w:u w:val="single"/>
              </w:rPr>
              <w:t>Bc. Zdeněk Dvořák, ředitel</w:t>
            </w:r>
          </w:p>
        </w:tc>
      </w:tr>
      <w:tr w:rsidR="006D280F" w:rsidTr="00740FA1">
        <w:trPr>
          <w:cantSplit/>
          <w:trHeight w:val="277"/>
        </w:trPr>
        <w:tc>
          <w:tcPr>
            <w:tcW w:w="4140" w:type="dxa"/>
            <w:gridSpan w:val="2"/>
          </w:tcPr>
          <w:p w:rsidR="006D280F" w:rsidRDefault="006D280F" w:rsidP="00740FA1">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6D280F" w:rsidTr="00740FA1">
        <w:trPr>
          <w:trHeight w:val="277"/>
        </w:trPr>
        <w:tc>
          <w:tcPr>
            <w:tcW w:w="2028" w:type="dxa"/>
          </w:tcPr>
          <w:p w:rsidR="006D280F" w:rsidRDefault="006D280F" w:rsidP="00740FA1">
            <w:pPr>
              <w:pStyle w:val="Zhlav"/>
              <w:tabs>
                <w:tab w:val="clear" w:pos="4536"/>
                <w:tab w:val="clear" w:pos="9072"/>
              </w:tabs>
              <w:spacing w:before="80"/>
              <w:jc w:val="center"/>
              <w:rPr>
                <w:i/>
                <w:sz w:val="12"/>
              </w:rPr>
            </w:pPr>
            <w:r>
              <w:rPr>
                <w:i/>
                <w:sz w:val="12"/>
              </w:rPr>
              <w:t>Datum</w:t>
            </w:r>
          </w:p>
        </w:tc>
        <w:tc>
          <w:tcPr>
            <w:tcW w:w="2112" w:type="dxa"/>
          </w:tcPr>
          <w:p w:rsidR="006D280F" w:rsidRDefault="006D280F" w:rsidP="00740FA1">
            <w:pPr>
              <w:pStyle w:val="Zhlav"/>
              <w:tabs>
                <w:tab w:val="clear" w:pos="4536"/>
                <w:tab w:val="clear" w:pos="9072"/>
              </w:tabs>
              <w:spacing w:before="80"/>
              <w:jc w:val="center"/>
              <w:rPr>
                <w:i/>
                <w:sz w:val="12"/>
              </w:rPr>
            </w:pPr>
            <w:r>
              <w:rPr>
                <w:i/>
                <w:sz w:val="12"/>
              </w:rPr>
              <w:t>Podpis</w:t>
            </w:r>
          </w:p>
        </w:tc>
      </w:tr>
      <w:tr w:rsidR="006D280F" w:rsidTr="00740FA1">
        <w:trPr>
          <w:trHeight w:val="277"/>
        </w:trPr>
        <w:tc>
          <w:tcPr>
            <w:tcW w:w="2028" w:type="dxa"/>
          </w:tcPr>
          <w:p w:rsidR="006D280F" w:rsidRDefault="006D280F" w:rsidP="00740FA1">
            <w:pPr>
              <w:spacing w:before="300"/>
              <w:jc w:val="center"/>
              <w:rPr>
                <w:sz w:val="20"/>
              </w:rPr>
            </w:pPr>
            <w:r>
              <w:rPr>
                <w:sz w:val="20"/>
              </w:rPr>
              <w:t>4.11.2020</w:t>
            </w:r>
          </w:p>
        </w:tc>
        <w:tc>
          <w:tcPr>
            <w:tcW w:w="2112" w:type="dxa"/>
          </w:tcPr>
          <w:p w:rsidR="006D280F" w:rsidRDefault="006D280F" w:rsidP="00740FA1">
            <w:pPr>
              <w:spacing w:before="400"/>
              <w:jc w:val="center"/>
            </w:pPr>
            <w:r>
              <w:rPr>
                <w:sz w:val="16"/>
              </w:rPr>
              <w:t>………………………………</w:t>
            </w:r>
          </w:p>
        </w:tc>
      </w:tr>
    </w:tbl>
    <w:p w:rsidR="006D280F" w:rsidRPr="00AB13F5" w:rsidRDefault="006D280F" w:rsidP="006D280F">
      <w:pPr>
        <w:pStyle w:val="Zhlav"/>
        <w:tabs>
          <w:tab w:val="clear" w:pos="4536"/>
          <w:tab w:val="clear" w:pos="9072"/>
        </w:tabs>
        <w:spacing w:before="200"/>
      </w:pPr>
    </w:p>
    <w:p w:rsidR="006D280F" w:rsidRPr="00AB13F5" w:rsidRDefault="006D280F" w:rsidP="006D280F">
      <w:pPr>
        <w:pStyle w:val="Zhlav"/>
        <w:pBdr>
          <w:top w:val="single" w:sz="4" w:space="1" w:color="auto"/>
        </w:pBdr>
        <w:tabs>
          <w:tab w:val="clear" w:pos="4536"/>
          <w:tab w:val="clear" w:pos="9072"/>
        </w:tabs>
      </w:pPr>
    </w:p>
    <w:p w:rsidR="006D280F" w:rsidRPr="00AB13F5" w:rsidRDefault="006D280F" w:rsidP="006D280F">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6D280F" w:rsidRPr="00AB13F5" w:rsidTr="00740FA1">
        <w:trPr>
          <w:jc w:val="center"/>
        </w:trPr>
        <w:tc>
          <w:tcPr>
            <w:tcW w:w="3070" w:type="dxa"/>
          </w:tcPr>
          <w:p w:rsidR="006D280F" w:rsidRPr="00AB13F5" w:rsidRDefault="006D280F" w:rsidP="00740FA1">
            <w:pPr>
              <w:pStyle w:val="Zhlav"/>
              <w:tabs>
                <w:tab w:val="clear" w:pos="4536"/>
                <w:tab w:val="clear" w:pos="9072"/>
              </w:tabs>
              <w:rPr>
                <w:b/>
                <w:sz w:val="20"/>
              </w:rPr>
            </w:pPr>
            <w:r w:rsidRPr="00AB13F5">
              <w:rPr>
                <w:b/>
                <w:sz w:val="20"/>
              </w:rPr>
              <w:lastRenderedPageBreak/>
              <w:t xml:space="preserve"> </w:t>
            </w:r>
          </w:p>
        </w:tc>
        <w:tc>
          <w:tcPr>
            <w:tcW w:w="3070" w:type="dxa"/>
          </w:tcPr>
          <w:p w:rsidR="006D280F" w:rsidRPr="00AB13F5" w:rsidRDefault="006D280F" w:rsidP="00740FA1">
            <w:pPr>
              <w:pStyle w:val="Zhlav"/>
              <w:tabs>
                <w:tab w:val="clear" w:pos="4536"/>
                <w:tab w:val="clear" w:pos="9072"/>
              </w:tabs>
              <w:jc w:val="center"/>
              <w:rPr>
                <w:b/>
                <w:sz w:val="20"/>
              </w:rPr>
            </w:pPr>
          </w:p>
        </w:tc>
        <w:tc>
          <w:tcPr>
            <w:tcW w:w="3071" w:type="dxa"/>
          </w:tcPr>
          <w:p w:rsidR="006D280F" w:rsidRPr="00AB13F5" w:rsidRDefault="006D280F" w:rsidP="00740FA1">
            <w:pPr>
              <w:pStyle w:val="Zhlav"/>
              <w:tabs>
                <w:tab w:val="clear" w:pos="4536"/>
                <w:tab w:val="clear" w:pos="9072"/>
              </w:tabs>
              <w:jc w:val="right"/>
              <w:rPr>
                <w:b/>
                <w:sz w:val="20"/>
              </w:rPr>
            </w:pPr>
          </w:p>
        </w:tc>
      </w:tr>
    </w:tbl>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6D280F" w:rsidRPr="00AB13F5" w:rsidTr="00740FA1">
        <w:trPr>
          <w:cantSplit/>
        </w:trPr>
        <w:tc>
          <w:tcPr>
            <w:tcW w:w="3850" w:type="dxa"/>
            <w:gridSpan w:val="3"/>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20"/>
              </w:rPr>
            </w:pPr>
          </w:p>
        </w:tc>
      </w:tr>
      <w:tr w:rsidR="006D280F" w:rsidRPr="00AB13F5" w:rsidTr="00740FA1">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změna článku</w:t>
            </w:r>
          </w:p>
        </w:tc>
      </w:tr>
      <w:tr w:rsidR="006D280F" w:rsidRPr="00AB13F5" w:rsidTr="00740FA1">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Verze 1.0 a 2.0 byly vloženy do směrnice R-Sm-08</w:t>
            </w:r>
          </w:p>
        </w:tc>
      </w:tr>
      <w:tr w:rsidR="006D280F" w:rsidRPr="00AB13F5" w:rsidTr="00740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6D280F" w:rsidRPr="00AB13F5" w:rsidTr="00740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r>
              <w:rPr>
                <w:sz w:val="18"/>
              </w:rPr>
              <w:t>Vložena revize přílohy č.5</w:t>
            </w:r>
          </w:p>
        </w:tc>
      </w:tr>
      <w:tr w:rsidR="006D280F" w:rsidRPr="00AB13F5" w:rsidTr="00740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r>
      <w:tr w:rsidR="006D280F" w:rsidRPr="00AB13F5" w:rsidTr="00740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r>
      <w:tr w:rsidR="006D280F" w:rsidRPr="00AB13F5" w:rsidTr="00740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740FA1">
            <w:pPr>
              <w:pStyle w:val="Zhlav"/>
              <w:tabs>
                <w:tab w:val="clear" w:pos="4536"/>
                <w:tab w:val="clear" w:pos="9072"/>
              </w:tabs>
              <w:rPr>
                <w:sz w:val="18"/>
              </w:rPr>
            </w:pPr>
          </w:p>
        </w:tc>
      </w:tr>
    </w:tbl>
    <w:p w:rsidR="006D280F" w:rsidRPr="00AB13F5" w:rsidRDefault="006D280F" w:rsidP="006D280F">
      <w:pPr>
        <w:rPr>
          <w:b/>
          <w:szCs w:val="22"/>
        </w:rPr>
      </w:pPr>
    </w:p>
    <w:p w:rsidR="006D280F" w:rsidRPr="00AB13F5" w:rsidRDefault="006D280F" w:rsidP="006D280F">
      <w:pPr>
        <w:pStyle w:val="Nadpis5"/>
        <w:tabs>
          <w:tab w:val="clear" w:pos="3240"/>
        </w:tabs>
        <w:ind w:left="0"/>
        <w:rPr>
          <w:bCs/>
          <w:caps/>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ind w:left="709"/>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r w:rsidRPr="00AB13F5">
        <w:rPr>
          <w:b/>
          <w:bCs/>
          <w:sz w:val="28"/>
          <w:szCs w:val="22"/>
          <w:u w:val="single"/>
        </w:rPr>
        <w:t>Obsah:</w:t>
      </w:r>
    </w:p>
    <w:p w:rsidR="006D280F" w:rsidRPr="00AB13F5" w:rsidRDefault="006D280F" w:rsidP="006D280F">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rsidR="006D280F" w:rsidRPr="00AB13F5" w:rsidRDefault="006D280F" w:rsidP="006D280F">
      <w:pPr>
        <w:tabs>
          <w:tab w:val="left" w:pos="540"/>
        </w:tabs>
        <w:spacing w:before="120" w:after="120"/>
        <w:jc w:val="left"/>
        <w:rPr>
          <w:szCs w:val="22"/>
        </w:rPr>
      </w:pPr>
      <w:r w:rsidRPr="00AB13F5">
        <w:rPr>
          <w:szCs w:val="22"/>
        </w:rPr>
        <w:t>§ 1 Působnost Směrnice…………………………………………………..…….5</w:t>
      </w:r>
    </w:p>
    <w:p w:rsidR="006D280F" w:rsidRPr="00AB13F5" w:rsidRDefault="006D280F" w:rsidP="006D280F">
      <w:pPr>
        <w:tabs>
          <w:tab w:val="left" w:pos="540"/>
        </w:tabs>
        <w:spacing w:before="120" w:after="120"/>
        <w:jc w:val="left"/>
        <w:rPr>
          <w:szCs w:val="22"/>
        </w:rPr>
      </w:pPr>
      <w:r w:rsidRPr="00AB13F5">
        <w:rPr>
          <w:szCs w:val="22"/>
        </w:rPr>
        <w:t xml:space="preserve">§ 2 </w:t>
      </w:r>
      <w:r w:rsidRPr="00AB13F5">
        <w:rPr>
          <w:szCs w:val="22"/>
        </w:rPr>
        <w:tab/>
        <w:t>Definice pojmů………………………………………………………….….6</w:t>
      </w:r>
    </w:p>
    <w:p w:rsidR="006D280F" w:rsidRPr="00AB13F5" w:rsidRDefault="006D280F" w:rsidP="006D280F">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rsidR="006D280F" w:rsidRPr="00AB13F5" w:rsidRDefault="006D280F" w:rsidP="006D280F">
      <w:pPr>
        <w:tabs>
          <w:tab w:val="left" w:pos="1080"/>
        </w:tabs>
        <w:spacing w:before="120" w:after="120"/>
        <w:jc w:val="left"/>
        <w:rPr>
          <w:szCs w:val="22"/>
        </w:rPr>
      </w:pPr>
      <w:r w:rsidRPr="00AB13F5">
        <w:rPr>
          <w:szCs w:val="22"/>
        </w:rPr>
        <w:t>§ 3 Důvody pro vznik Změn a jejich zpracování do dokumentace stavby….…7</w:t>
      </w:r>
    </w:p>
    <w:p w:rsidR="006D280F" w:rsidRPr="00AB13F5" w:rsidRDefault="006D280F" w:rsidP="006D280F">
      <w:pPr>
        <w:tabs>
          <w:tab w:val="left" w:pos="1080"/>
        </w:tabs>
        <w:spacing w:before="120" w:after="120"/>
        <w:jc w:val="left"/>
        <w:rPr>
          <w:szCs w:val="22"/>
        </w:rPr>
      </w:pPr>
      <w:r w:rsidRPr="00AB13F5">
        <w:rPr>
          <w:szCs w:val="22"/>
        </w:rPr>
        <w:t>§ 4 Základní hodnocení Změn…………………………………………………7</w:t>
      </w:r>
    </w:p>
    <w:p w:rsidR="006D280F" w:rsidRPr="00AB13F5" w:rsidRDefault="006D280F" w:rsidP="006D280F">
      <w:pPr>
        <w:tabs>
          <w:tab w:val="left" w:pos="1080"/>
        </w:tabs>
        <w:spacing w:before="120" w:after="120"/>
        <w:jc w:val="left"/>
        <w:rPr>
          <w:szCs w:val="22"/>
        </w:rPr>
      </w:pPr>
      <w:r w:rsidRPr="00AB13F5">
        <w:rPr>
          <w:szCs w:val="22"/>
        </w:rPr>
        <w:t>§ 5 Nepodstatné Změny………………………………………………………..8</w:t>
      </w:r>
    </w:p>
    <w:p w:rsidR="006D280F" w:rsidRPr="00AB13F5" w:rsidRDefault="006D280F" w:rsidP="006D280F">
      <w:pPr>
        <w:tabs>
          <w:tab w:val="left" w:pos="1080"/>
        </w:tabs>
        <w:spacing w:before="120" w:after="120"/>
        <w:jc w:val="left"/>
        <w:rPr>
          <w:szCs w:val="22"/>
        </w:rPr>
      </w:pPr>
      <w:r w:rsidRPr="00AB13F5">
        <w:rPr>
          <w:szCs w:val="22"/>
        </w:rPr>
        <w:t xml:space="preserve">§ 6 Řetězení Změn……………………………………………………………..9 </w:t>
      </w:r>
    </w:p>
    <w:p w:rsidR="006D280F" w:rsidRPr="00AB13F5" w:rsidRDefault="006D280F" w:rsidP="006D280F">
      <w:pPr>
        <w:tabs>
          <w:tab w:val="left" w:pos="1080"/>
        </w:tabs>
        <w:spacing w:before="120" w:after="120"/>
        <w:jc w:val="left"/>
        <w:rPr>
          <w:szCs w:val="22"/>
        </w:rPr>
      </w:pPr>
      <w:r w:rsidRPr="00AB13F5">
        <w:rPr>
          <w:szCs w:val="22"/>
        </w:rPr>
        <w:t>§ 7 Vyhrazené změny – Skupina 1…………………………………….………9</w:t>
      </w:r>
    </w:p>
    <w:p w:rsidR="006D280F" w:rsidRPr="00AB13F5" w:rsidRDefault="006D280F" w:rsidP="006D280F">
      <w:pPr>
        <w:tabs>
          <w:tab w:val="left" w:pos="1080"/>
        </w:tabs>
        <w:spacing w:before="120" w:after="120"/>
        <w:jc w:val="left"/>
        <w:rPr>
          <w:szCs w:val="22"/>
        </w:rPr>
      </w:pPr>
      <w:r w:rsidRPr="00AB13F5">
        <w:rPr>
          <w:szCs w:val="22"/>
        </w:rPr>
        <w:t>§ 8 Preliminářové položky …………………………………………..………10</w:t>
      </w:r>
    </w:p>
    <w:p w:rsidR="006D280F" w:rsidRPr="00AB13F5" w:rsidRDefault="006D280F" w:rsidP="006D280F">
      <w:pPr>
        <w:tabs>
          <w:tab w:val="left" w:pos="1080"/>
        </w:tabs>
        <w:spacing w:before="120" w:after="120"/>
        <w:jc w:val="left"/>
        <w:rPr>
          <w:szCs w:val="22"/>
        </w:rPr>
      </w:pPr>
      <w:r w:rsidRPr="00AB13F5">
        <w:rPr>
          <w:szCs w:val="22"/>
        </w:rPr>
        <w:t>§ 9 Záměna položek – Skupina 2…………………………………………….10</w:t>
      </w:r>
    </w:p>
    <w:p w:rsidR="006D280F" w:rsidRPr="00AB13F5" w:rsidRDefault="006D280F" w:rsidP="006D280F">
      <w:pPr>
        <w:tabs>
          <w:tab w:val="left" w:pos="1080"/>
        </w:tabs>
        <w:spacing w:before="120" w:after="120"/>
        <w:jc w:val="left"/>
        <w:rPr>
          <w:szCs w:val="22"/>
        </w:rPr>
      </w:pPr>
      <w:r w:rsidRPr="00AB13F5">
        <w:rPr>
          <w:szCs w:val="22"/>
        </w:rPr>
        <w:t>§ 10 Změny z nepředvídaných důvodů – Skupina 3…………………………11</w:t>
      </w:r>
    </w:p>
    <w:p w:rsidR="006D280F" w:rsidRPr="00AB13F5" w:rsidRDefault="006D280F" w:rsidP="006D280F">
      <w:pPr>
        <w:tabs>
          <w:tab w:val="left" w:pos="1080"/>
        </w:tabs>
        <w:spacing w:before="120" w:after="120"/>
        <w:jc w:val="left"/>
        <w:rPr>
          <w:szCs w:val="22"/>
        </w:rPr>
      </w:pPr>
      <w:r w:rsidRPr="00AB13F5">
        <w:rPr>
          <w:szCs w:val="22"/>
        </w:rPr>
        <w:t>§ 11 Změny nezbytné k dokončení – Skupina 4……………………………..12</w:t>
      </w:r>
    </w:p>
    <w:p w:rsidR="006D280F" w:rsidRPr="00AB13F5" w:rsidRDefault="006D280F" w:rsidP="006D280F">
      <w:pPr>
        <w:tabs>
          <w:tab w:val="left" w:pos="1080"/>
        </w:tabs>
        <w:spacing w:before="120" w:after="120"/>
        <w:jc w:val="left"/>
        <w:rPr>
          <w:szCs w:val="22"/>
        </w:rPr>
      </w:pPr>
      <w:r w:rsidRPr="00AB13F5">
        <w:rPr>
          <w:szCs w:val="22"/>
        </w:rPr>
        <w:t>§ 12 Změny de minimis – Skupina 5…………………………………………13</w:t>
      </w:r>
    </w:p>
    <w:p w:rsidR="006D280F" w:rsidRPr="00AB13F5" w:rsidRDefault="006D280F" w:rsidP="006D280F">
      <w:pPr>
        <w:tabs>
          <w:tab w:val="left" w:pos="1080"/>
        </w:tabs>
        <w:spacing w:before="120" w:after="120"/>
        <w:jc w:val="left"/>
        <w:rPr>
          <w:szCs w:val="22"/>
        </w:rPr>
      </w:pPr>
      <w:r w:rsidRPr="00AB13F5">
        <w:rPr>
          <w:szCs w:val="22"/>
        </w:rPr>
        <w:t>§ 13 Způsob započítávání a výpočtů limitů…………………………………14</w:t>
      </w:r>
    </w:p>
    <w:p w:rsidR="006D280F" w:rsidRPr="00AB13F5" w:rsidRDefault="006D280F" w:rsidP="006D280F">
      <w:pPr>
        <w:tabs>
          <w:tab w:val="left" w:pos="1080"/>
        </w:tabs>
        <w:spacing w:before="120" w:after="120"/>
        <w:jc w:val="left"/>
        <w:rPr>
          <w:szCs w:val="22"/>
        </w:rPr>
      </w:pPr>
      <w:r w:rsidRPr="00AB13F5">
        <w:rPr>
          <w:szCs w:val="22"/>
        </w:rPr>
        <w:t xml:space="preserve">§ 14 Změny záporné…………………………………………………………15 </w:t>
      </w:r>
    </w:p>
    <w:p w:rsidR="006D280F" w:rsidRPr="00AB13F5" w:rsidRDefault="006D280F" w:rsidP="006D280F">
      <w:pPr>
        <w:tabs>
          <w:tab w:val="left" w:pos="1080"/>
        </w:tabs>
        <w:spacing w:before="120" w:after="120"/>
        <w:jc w:val="left"/>
        <w:rPr>
          <w:szCs w:val="22"/>
        </w:rPr>
      </w:pPr>
      <w:r w:rsidRPr="00AB13F5">
        <w:rPr>
          <w:szCs w:val="22"/>
        </w:rPr>
        <w:t xml:space="preserve">§ 15 Změny zadávané v Jednacím řízení bez uveřejnění (JŘBU)…………..17 </w:t>
      </w:r>
    </w:p>
    <w:p w:rsidR="006D280F" w:rsidRPr="00AB13F5" w:rsidRDefault="006D280F" w:rsidP="006D280F">
      <w:pPr>
        <w:tabs>
          <w:tab w:val="left" w:pos="1080"/>
        </w:tabs>
        <w:spacing w:before="120" w:after="120"/>
        <w:jc w:val="left"/>
        <w:rPr>
          <w:szCs w:val="22"/>
        </w:rPr>
      </w:pPr>
      <w:r w:rsidRPr="00AB13F5">
        <w:rPr>
          <w:szCs w:val="22"/>
        </w:rPr>
        <w:t>§ 16 Základní postup pro určení Skupiny…………………………………..17</w:t>
      </w:r>
    </w:p>
    <w:p w:rsidR="006D280F" w:rsidRPr="00AB13F5" w:rsidRDefault="006D280F" w:rsidP="006D280F">
      <w:pPr>
        <w:tabs>
          <w:tab w:val="left" w:pos="1080"/>
        </w:tabs>
        <w:spacing w:before="120" w:after="120"/>
        <w:jc w:val="left"/>
        <w:rPr>
          <w:szCs w:val="22"/>
        </w:rPr>
      </w:pPr>
      <w:r w:rsidRPr="00AB13F5">
        <w:rPr>
          <w:szCs w:val="22"/>
        </w:rPr>
        <w:t xml:space="preserve">§ 17 Zásady oceňování Změn a tvorba nových položek……………………18 </w:t>
      </w:r>
    </w:p>
    <w:p w:rsidR="006D280F" w:rsidRPr="00AB13F5" w:rsidRDefault="006D280F" w:rsidP="006D280F">
      <w:pPr>
        <w:tabs>
          <w:tab w:val="left" w:pos="1080"/>
        </w:tabs>
        <w:spacing w:before="120" w:after="120"/>
        <w:jc w:val="left"/>
        <w:rPr>
          <w:szCs w:val="22"/>
        </w:rPr>
      </w:pPr>
      <w:r w:rsidRPr="00AB13F5">
        <w:rPr>
          <w:szCs w:val="22"/>
        </w:rPr>
        <w:t>§ 18 Obsah dokumentace Změny…………………………………………...19</w:t>
      </w:r>
    </w:p>
    <w:p w:rsidR="006D280F" w:rsidRPr="00AB13F5" w:rsidRDefault="006D280F" w:rsidP="006D280F">
      <w:pPr>
        <w:tabs>
          <w:tab w:val="left" w:pos="1080"/>
        </w:tabs>
        <w:spacing w:before="120" w:after="120"/>
        <w:jc w:val="left"/>
        <w:rPr>
          <w:szCs w:val="22"/>
        </w:rPr>
      </w:pPr>
      <w:r w:rsidRPr="00AB13F5">
        <w:rPr>
          <w:szCs w:val="22"/>
        </w:rPr>
        <w:t xml:space="preserve">§ 19 Změnový list…………………………………………………………..19              </w:t>
      </w:r>
    </w:p>
    <w:p w:rsidR="006D280F" w:rsidRPr="00AB13F5" w:rsidRDefault="006D280F" w:rsidP="006D280F">
      <w:pPr>
        <w:tabs>
          <w:tab w:val="left" w:pos="1080"/>
        </w:tabs>
        <w:spacing w:before="120" w:after="120"/>
        <w:jc w:val="left"/>
        <w:rPr>
          <w:szCs w:val="22"/>
        </w:rPr>
      </w:pPr>
      <w:r w:rsidRPr="00AB13F5">
        <w:rPr>
          <w:szCs w:val="22"/>
        </w:rPr>
        <w:t>§ 20 Procesní postup při vzniku Změn……………………………………..20</w:t>
      </w:r>
    </w:p>
    <w:p w:rsidR="006D280F" w:rsidRPr="00AB13F5" w:rsidRDefault="006D280F" w:rsidP="006D280F">
      <w:pPr>
        <w:tabs>
          <w:tab w:val="left" w:pos="1080"/>
        </w:tabs>
        <w:spacing w:before="120" w:after="120"/>
        <w:jc w:val="left"/>
        <w:rPr>
          <w:szCs w:val="22"/>
        </w:rPr>
      </w:pPr>
      <w:r w:rsidRPr="00AB13F5">
        <w:rPr>
          <w:szCs w:val="22"/>
        </w:rPr>
        <w:t>§ 21 Společné zásady………………………………………………………20</w:t>
      </w:r>
    </w:p>
    <w:p w:rsidR="006D280F" w:rsidRPr="00AB13F5" w:rsidRDefault="006D280F" w:rsidP="006D280F">
      <w:pPr>
        <w:tabs>
          <w:tab w:val="left" w:pos="1080"/>
        </w:tabs>
        <w:spacing w:before="120" w:after="120"/>
        <w:jc w:val="left"/>
        <w:rPr>
          <w:szCs w:val="22"/>
        </w:rPr>
      </w:pPr>
      <w:r w:rsidRPr="00AB13F5">
        <w:rPr>
          <w:szCs w:val="22"/>
        </w:rPr>
        <w:t>§ 22 Přechodná a zrušující ustanovení……………….…………...………..21</w:t>
      </w:r>
    </w:p>
    <w:p w:rsidR="006D280F" w:rsidRPr="00AB13F5" w:rsidRDefault="006D280F" w:rsidP="006D280F">
      <w:pPr>
        <w:tabs>
          <w:tab w:val="left" w:pos="1080"/>
        </w:tabs>
        <w:spacing w:before="120" w:after="120"/>
        <w:jc w:val="left"/>
        <w:rPr>
          <w:szCs w:val="22"/>
        </w:rPr>
      </w:pPr>
      <w:r w:rsidRPr="00AB13F5">
        <w:rPr>
          <w:szCs w:val="22"/>
        </w:rPr>
        <w:t>§ 23 Účinnost………………………………………………...…………….21</w:t>
      </w:r>
    </w:p>
    <w:p w:rsidR="006D280F" w:rsidRPr="00AB13F5" w:rsidRDefault="006D280F" w:rsidP="006D280F">
      <w:pPr>
        <w:tabs>
          <w:tab w:val="left" w:pos="540"/>
        </w:tabs>
        <w:spacing w:before="120" w:after="120"/>
        <w:jc w:val="left"/>
        <w:rPr>
          <w:szCs w:val="22"/>
        </w:rPr>
      </w:pPr>
      <w:r w:rsidRPr="00AB13F5">
        <w:rPr>
          <w:szCs w:val="22"/>
        </w:rPr>
        <w:t>§24  Seznam příloh…………………………………………..…………….22</w:t>
      </w:r>
    </w:p>
    <w:p w:rsidR="006D280F" w:rsidRPr="00AB13F5" w:rsidRDefault="006D280F" w:rsidP="006D280F">
      <w:pPr>
        <w:spacing w:after="200" w:line="276" w:lineRule="auto"/>
        <w:jc w:val="left"/>
        <w:rPr>
          <w:szCs w:val="22"/>
        </w:rPr>
      </w:pPr>
      <w:r w:rsidRPr="00AB13F5">
        <w:rPr>
          <w:szCs w:val="22"/>
        </w:rPr>
        <w:br w:type="page"/>
      </w:r>
    </w:p>
    <w:p w:rsidR="006D280F" w:rsidRPr="00AB13F5" w:rsidRDefault="006D280F" w:rsidP="006D280F">
      <w:pPr>
        <w:jc w:val="center"/>
        <w:rPr>
          <w:b/>
          <w:szCs w:val="22"/>
        </w:rPr>
      </w:pPr>
      <w:r w:rsidRPr="00AB13F5">
        <w:rPr>
          <w:b/>
          <w:szCs w:val="22"/>
        </w:rPr>
        <w:lastRenderedPageBreak/>
        <w:t>Článek 1</w:t>
      </w:r>
    </w:p>
    <w:p w:rsidR="006D280F" w:rsidRPr="00AB13F5" w:rsidRDefault="006D280F" w:rsidP="006D280F">
      <w:pPr>
        <w:jc w:val="center"/>
        <w:rPr>
          <w:b/>
          <w:szCs w:val="22"/>
        </w:rPr>
      </w:pPr>
      <w:r w:rsidRPr="00AB13F5">
        <w:rPr>
          <w:b/>
          <w:szCs w:val="22"/>
        </w:rPr>
        <w:t>Základní ustanovení</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w:t>
      </w:r>
    </w:p>
    <w:p w:rsidR="006D280F" w:rsidRPr="00AB13F5" w:rsidRDefault="006D280F" w:rsidP="006D280F">
      <w:pPr>
        <w:jc w:val="center"/>
        <w:rPr>
          <w:b/>
          <w:szCs w:val="22"/>
        </w:rPr>
      </w:pPr>
      <w:r w:rsidRPr="00AB13F5">
        <w:rPr>
          <w:b/>
          <w:szCs w:val="22"/>
        </w:rPr>
        <w:t>Působnost Směrnice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2</w:t>
      </w:r>
    </w:p>
    <w:p w:rsidR="006D280F" w:rsidRPr="00AB13F5" w:rsidRDefault="006D280F" w:rsidP="006D280F">
      <w:pPr>
        <w:jc w:val="center"/>
        <w:rPr>
          <w:b/>
          <w:szCs w:val="22"/>
        </w:rPr>
      </w:pPr>
      <w:r w:rsidRPr="00AB13F5">
        <w:rPr>
          <w:b/>
          <w:szCs w:val="22"/>
        </w:rPr>
        <w:lastRenderedPageBreak/>
        <w:t>Definice pojmů</w:t>
      </w:r>
    </w:p>
    <w:p w:rsidR="006D280F" w:rsidRPr="00AB13F5" w:rsidRDefault="006D280F" w:rsidP="006D280F">
      <w:pPr>
        <w:spacing w:after="200"/>
        <w:rPr>
          <w:szCs w:val="22"/>
        </w:rPr>
      </w:pPr>
      <w:r w:rsidRPr="00AB13F5">
        <w:rPr>
          <w:szCs w:val="22"/>
        </w:rPr>
        <w:t>Pro účely této Směrnice a jejích příloh se nad rámec termínů definovaných Zákonem rozumí:</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„JŘBU“ jednací řízení bez uveřejnění dle § 63 a násl. Zákona.</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35"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 xml:space="preserve">„ITI“ se rozumí dotační program EU - </w:t>
      </w:r>
      <w:r w:rsidRPr="00AB13F5">
        <w:t>integrované územní investice Pražské metropolitní oblasti.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Článek 2 </w:t>
      </w:r>
    </w:p>
    <w:p w:rsidR="006D280F" w:rsidRPr="00AB13F5" w:rsidRDefault="006D280F" w:rsidP="006D280F">
      <w:pPr>
        <w:jc w:val="center"/>
        <w:rPr>
          <w:b/>
          <w:szCs w:val="22"/>
        </w:rPr>
      </w:pPr>
      <w:r w:rsidRPr="00AB13F5">
        <w:rPr>
          <w:b/>
          <w:szCs w:val="22"/>
        </w:rPr>
        <w:t>Změny během výstavby</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 3  </w:t>
      </w:r>
    </w:p>
    <w:p w:rsidR="006D280F" w:rsidRPr="00AB13F5" w:rsidRDefault="006D280F" w:rsidP="006D280F">
      <w:pPr>
        <w:jc w:val="center"/>
        <w:rPr>
          <w:b/>
          <w:szCs w:val="22"/>
        </w:rPr>
      </w:pPr>
      <w:r w:rsidRPr="00AB13F5">
        <w:rPr>
          <w:b/>
          <w:szCs w:val="22"/>
        </w:rPr>
        <w:t>Důvody pro vznik Změn a jejich zapracování do dokumentace stavby</w:t>
      </w:r>
    </w:p>
    <w:p w:rsidR="006D280F" w:rsidRPr="00AB13F5" w:rsidRDefault="006D280F" w:rsidP="006D280F">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rsidR="006D280F" w:rsidRPr="00AB13F5" w:rsidRDefault="006D280F" w:rsidP="006D280F">
      <w:pPr>
        <w:pStyle w:val="Odstavecseseznamem3"/>
        <w:spacing w:line="240" w:lineRule="auto"/>
        <w:jc w:val="both"/>
        <w:rPr>
          <w:rFonts w:ascii="Times New Roman" w:hAnsi="Times New Roman" w:cs="Times New Roman"/>
        </w:rPr>
      </w:pPr>
    </w:p>
    <w:p w:rsidR="006D280F" w:rsidRPr="00AB13F5" w:rsidRDefault="006D280F" w:rsidP="006D280F">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rsidR="006D280F" w:rsidRPr="00AB13F5" w:rsidRDefault="006D280F" w:rsidP="006D280F">
      <w:pPr>
        <w:jc w:val="center"/>
        <w:rPr>
          <w:b/>
          <w:szCs w:val="22"/>
        </w:rPr>
      </w:pPr>
      <w:r w:rsidRPr="00AB13F5">
        <w:rPr>
          <w:b/>
          <w:szCs w:val="22"/>
        </w:rPr>
        <w:t>Základní hodnocení Změn</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rsidR="006D280F" w:rsidRPr="00AB13F5" w:rsidRDefault="006D280F" w:rsidP="006D280F">
      <w:pPr>
        <w:pStyle w:val="Odstavecseseznamem"/>
        <w:numPr>
          <w:ilvl w:val="0"/>
          <w:numId w:val="41"/>
        </w:numPr>
        <w:spacing w:after="0" w:line="240" w:lineRule="auto"/>
        <w:ind w:left="993" w:hanging="284"/>
        <w:contextualSpacing w:val="0"/>
        <w:jc w:val="both"/>
      </w:pPr>
      <w:r w:rsidRPr="00AB13F5">
        <w:t>Změny podstatné,</w:t>
      </w:r>
    </w:p>
    <w:p w:rsidR="006D280F" w:rsidRPr="00AB13F5" w:rsidRDefault="006D280F" w:rsidP="006D280F">
      <w:pPr>
        <w:pStyle w:val="Odstavecseseznamem"/>
        <w:numPr>
          <w:ilvl w:val="0"/>
          <w:numId w:val="41"/>
        </w:numPr>
        <w:spacing w:line="240" w:lineRule="auto"/>
        <w:ind w:left="993" w:hanging="284"/>
        <w:contextualSpacing w:val="0"/>
        <w:jc w:val="both"/>
      </w:pPr>
      <w:r w:rsidRPr="00AB13F5">
        <w:t xml:space="preserve">Změny nepodstatné.  </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rsidR="006D280F" w:rsidRPr="00AB13F5" w:rsidRDefault="006D280F" w:rsidP="006D280F">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rsidR="006D280F" w:rsidRPr="00AB13F5" w:rsidRDefault="006D280F" w:rsidP="006D280F">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rsidR="006D280F" w:rsidRPr="00AB13F5" w:rsidRDefault="006D280F" w:rsidP="006D280F">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6D280F" w:rsidRPr="00AB13F5" w:rsidRDefault="006D280F" w:rsidP="006D280F">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6D280F" w:rsidRPr="00AB13F5" w:rsidRDefault="006D280F" w:rsidP="006D280F">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rsidR="006D280F" w:rsidRPr="00AB13F5" w:rsidRDefault="006D280F" w:rsidP="006D280F">
      <w:pPr>
        <w:pStyle w:val="Odstavecseseznamem"/>
        <w:jc w:val="both"/>
      </w:pPr>
    </w:p>
    <w:p w:rsidR="006D280F" w:rsidRPr="00AB13F5" w:rsidRDefault="006D280F" w:rsidP="006D280F">
      <w:pPr>
        <w:jc w:val="center"/>
        <w:rPr>
          <w:b/>
          <w:szCs w:val="22"/>
        </w:rPr>
      </w:pPr>
      <w:r w:rsidRPr="00AB13F5">
        <w:rPr>
          <w:b/>
          <w:szCs w:val="22"/>
        </w:rPr>
        <w:t>§ 5</w:t>
      </w:r>
    </w:p>
    <w:p w:rsidR="006D280F" w:rsidRPr="00AB13F5" w:rsidRDefault="006D280F" w:rsidP="006D280F">
      <w:pPr>
        <w:jc w:val="center"/>
        <w:rPr>
          <w:szCs w:val="22"/>
        </w:rPr>
      </w:pPr>
      <w:r w:rsidRPr="00AB13F5">
        <w:rPr>
          <w:b/>
          <w:szCs w:val="22"/>
        </w:rPr>
        <w:t>Nepodstatné Změny</w:t>
      </w:r>
    </w:p>
    <w:p w:rsidR="006D280F" w:rsidRPr="00AB13F5" w:rsidRDefault="006D280F" w:rsidP="006D280F">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rsidR="006D280F" w:rsidRPr="00AB13F5" w:rsidRDefault="006D280F" w:rsidP="006D280F">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jc w:val="center"/>
        <w:rPr>
          <w:b/>
          <w:szCs w:val="22"/>
        </w:rPr>
      </w:pPr>
      <w:r w:rsidRPr="00AB13F5">
        <w:rPr>
          <w:b/>
          <w:szCs w:val="22"/>
        </w:rPr>
        <w:t>§ 6</w:t>
      </w:r>
    </w:p>
    <w:p w:rsidR="006D280F" w:rsidRPr="00AB13F5" w:rsidRDefault="006D280F" w:rsidP="006D280F">
      <w:pPr>
        <w:jc w:val="center"/>
        <w:rPr>
          <w:b/>
          <w:szCs w:val="22"/>
        </w:rPr>
      </w:pPr>
      <w:r w:rsidRPr="00AB13F5">
        <w:rPr>
          <w:b/>
          <w:szCs w:val="22"/>
        </w:rPr>
        <w:t>Řetězení Změn</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 xml:space="preserve">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w:t>
      </w:r>
      <w:r w:rsidRPr="00AB13F5">
        <w:rPr>
          <w:sz w:val="22"/>
          <w:szCs w:val="22"/>
          <w:lang w:val="cs-CZ"/>
        </w:rPr>
        <w:lastRenderedPageBreak/>
        <w:t>„řetězení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6D280F" w:rsidRPr="00AB13F5" w:rsidRDefault="006D280F" w:rsidP="006D280F">
      <w:pPr>
        <w:pStyle w:val="psmeno"/>
        <w:tabs>
          <w:tab w:val="clear" w:pos="357"/>
        </w:tabs>
        <w:rPr>
          <w:sz w:val="22"/>
          <w:szCs w:val="22"/>
          <w:lang w:val="cs-CZ"/>
        </w:rPr>
      </w:pPr>
    </w:p>
    <w:p w:rsidR="006D280F" w:rsidRPr="00AB13F5" w:rsidRDefault="006D280F" w:rsidP="006D280F">
      <w:pPr>
        <w:ind w:left="360" w:hanging="360"/>
        <w:jc w:val="center"/>
        <w:rPr>
          <w:b/>
          <w:szCs w:val="22"/>
        </w:rPr>
      </w:pPr>
      <w:r w:rsidRPr="00AB13F5">
        <w:rPr>
          <w:b/>
          <w:szCs w:val="22"/>
        </w:rPr>
        <w:t>§ 7</w:t>
      </w:r>
    </w:p>
    <w:p w:rsidR="006D280F" w:rsidRPr="00AB13F5" w:rsidRDefault="006D280F" w:rsidP="006D280F">
      <w:pPr>
        <w:ind w:left="357" w:hanging="357"/>
        <w:jc w:val="center"/>
        <w:rPr>
          <w:b/>
          <w:szCs w:val="22"/>
        </w:rPr>
      </w:pPr>
      <w:r w:rsidRPr="00AB13F5">
        <w:rPr>
          <w:b/>
          <w:szCs w:val="22"/>
        </w:rPr>
        <w:t>Vyhrazené změny – Skupina 1</w:t>
      </w:r>
    </w:p>
    <w:p w:rsidR="006D280F" w:rsidRPr="00AB13F5" w:rsidRDefault="006D280F" w:rsidP="006D280F">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6D280F" w:rsidRPr="00AB13F5" w:rsidRDefault="006D280F" w:rsidP="006D280F">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rsidR="006D280F" w:rsidRPr="00AB13F5" w:rsidRDefault="006D280F" w:rsidP="006D280F">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rsidR="006D280F" w:rsidRPr="00AB13F5" w:rsidRDefault="006D280F" w:rsidP="006D280F">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rsidR="006D280F" w:rsidRPr="00AB13F5" w:rsidRDefault="006D280F" w:rsidP="006D280F">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rsidR="006D280F" w:rsidRPr="00AB13F5" w:rsidRDefault="006D280F" w:rsidP="006D280F">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rsidR="006D280F" w:rsidRPr="00AB13F5" w:rsidRDefault="006D280F" w:rsidP="006D280F">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t>Měřením není:</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rsidR="006D280F" w:rsidRPr="00AB13F5" w:rsidRDefault="006D280F" w:rsidP="006D280F">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lastRenderedPageBreak/>
        <w:t xml:space="preserve">Pro evidenci Změn ve Skupině 1 se použijí přílohy uvedené v § 18, bod (1) a), b).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8</w:t>
      </w:r>
    </w:p>
    <w:p w:rsidR="006D280F" w:rsidRPr="00AB13F5" w:rsidRDefault="006D280F" w:rsidP="006D280F">
      <w:pPr>
        <w:jc w:val="center"/>
        <w:rPr>
          <w:b/>
          <w:szCs w:val="22"/>
        </w:rPr>
      </w:pPr>
      <w:r w:rsidRPr="00AB13F5">
        <w:rPr>
          <w:b/>
          <w:szCs w:val="22"/>
        </w:rPr>
        <w:t>Preliminářové položky</w:t>
      </w:r>
    </w:p>
    <w:p w:rsidR="006D280F" w:rsidRPr="00AB13F5" w:rsidRDefault="006D280F" w:rsidP="006D280F">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6D280F" w:rsidRPr="00AB13F5" w:rsidRDefault="006D280F" w:rsidP="006D280F">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9</w:t>
      </w:r>
    </w:p>
    <w:p w:rsidR="006D280F" w:rsidRPr="00AB13F5" w:rsidRDefault="006D280F" w:rsidP="006D280F">
      <w:pPr>
        <w:jc w:val="center"/>
        <w:rPr>
          <w:b/>
          <w:szCs w:val="22"/>
        </w:rPr>
      </w:pPr>
      <w:r w:rsidRPr="00AB13F5">
        <w:rPr>
          <w:b/>
          <w:szCs w:val="22"/>
        </w:rPr>
        <w:t>Záměna položek  - Skupina 2</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6D280F" w:rsidRPr="00AB13F5" w:rsidRDefault="006D280F" w:rsidP="006D280F">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w:t>
      </w:r>
      <w:r w:rsidRPr="00AB13F5">
        <w:rPr>
          <w:rFonts w:eastAsia="MS Mincho"/>
          <w:szCs w:val="22"/>
        </w:rPr>
        <w:lastRenderedPageBreak/>
        <w:t>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10</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rsidR="006D280F" w:rsidRPr="00AB13F5" w:rsidRDefault="006D280F" w:rsidP="006D280F">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hodnoty všech změn v rámci této Skupiny,</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rsidR="006D280F" w:rsidRPr="00AB13F5" w:rsidRDefault="006D280F" w:rsidP="006D280F">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lastRenderedPageBreak/>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rsidR="006D280F" w:rsidRPr="00AB13F5" w:rsidRDefault="006D280F" w:rsidP="006D280F">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rsidR="006D280F" w:rsidRPr="00AB13F5" w:rsidRDefault="006D280F" w:rsidP="006D280F">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rsidR="006D280F" w:rsidRPr="00AB13F5" w:rsidRDefault="006D280F" w:rsidP="006D280F">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rsidR="006D280F" w:rsidRPr="00AB13F5" w:rsidRDefault="006D280F" w:rsidP="006D280F">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6D280F" w:rsidRPr="00AB13F5" w:rsidRDefault="006D280F" w:rsidP="006D280F">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11</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rsidR="006D280F" w:rsidRPr="00AB13F5" w:rsidRDefault="006D280F" w:rsidP="006D280F">
      <w:pPr>
        <w:pStyle w:val="Pa29"/>
        <w:numPr>
          <w:ilvl w:val="0"/>
          <w:numId w:val="32"/>
        </w:numPr>
        <w:spacing w:after="200" w:line="240" w:lineRule="auto"/>
        <w:ind w:left="993" w:hanging="284"/>
        <w:contextualSpacing/>
        <w:jc w:val="both"/>
        <w:rPr>
          <w:sz w:val="22"/>
          <w:szCs w:val="22"/>
        </w:rPr>
      </w:pPr>
      <w:r w:rsidRPr="00AB13F5">
        <w:rPr>
          <w:sz w:val="22"/>
          <w:szCs w:val="22"/>
        </w:rPr>
        <w:lastRenderedPageBreak/>
        <w:t>hodnota dodatečných stavebních prací nepřekročí limit 50 % původní hodnoty závazku; pokud bude provedeno více změn, je rozhodný součet hodnoty všech změn v rámci této Skupiny.</w:t>
      </w:r>
    </w:p>
    <w:p w:rsidR="006D280F" w:rsidRPr="00AB13F5" w:rsidRDefault="006D280F" w:rsidP="006D280F">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rsidR="006D280F" w:rsidRPr="00AB13F5" w:rsidRDefault="006D280F" w:rsidP="006D280F">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6D280F" w:rsidRPr="00AB13F5" w:rsidRDefault="006D280F" w:rsidP="006D280F">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12</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rsidR="006D280F" w:rsidRPr="00AB13F5" w:rsidRDefault="006D280F" w:rsidP="006D280F">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rsidR="006D280F" w:rsidRPr="00AB13F5" w:rsidRDefault="006D280F" w:rsidP="006D280F">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w:t>
      </w:r>
      <w:r w:rsidRPr="00AB13F5">
        <w:rPr>
          <w:sz w:val="22"/>
          <w:szCs w:val="22"/>
        </w:rPr>
        <w:lastRenderedPageBreak/>
        <w:t xml:space="preserve">stanovení finančních limitů a částek pro účely zákona o zadávání veřejných zakázek, a je vždy k 1. lednu každého sudého roku aktualizován). </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13</w:t>
      </w:r>
    </w:p>
    <w:p w:rsidR="006D280F" w:rsidRPr="00AB13F5" w:rsidRDefault="006D280F" w:rsidP="006D280F">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rsidR="006D280F" w:rsidRPr="00AB13F5" w:rsidRDefault="006D280F" w:rsidP="006D280F">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rsidR="006D280F" w:rsidRPr="00AB13F5" w:rsidRDefault="006D280F" w:rsidP="006D280F">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Style w:val="DeltaViewInsertion"/>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rsidR="006D280F" w:rsidRPr="00AB13F5" w:rsidRDefault="006D280F" w:rsidP="006D280F">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rsidR="006D280F" w:rsidRPr="00AB13F5" w:rsidRDefault="006D280F" w:rsidP="006D280F">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rsidR="006D280F" w:rsidRPr="00AB13F5" w:rsidRDefault="006D280F" w:rsidP="006D280F">
      <w:pPr>
        <w:pStyle w:val="Odstavecseseznamem"/>
        <w:numPr>
          <w:ilvl w:val="0"/>
          <w:numId w:val="43"/>
        </w:numPr>
        <w:spacing w:after="0" w:line="240" w:lineRule="auto"/>
        <w:ind w:left="993" w:hanging="284"/>
        <w:contextualSpacing w:val="0"/>
        <w:jc w:val="both"/>
      </w:pPr>
      <w:r w:rsidRPr="00AB13F5">
        <w:lastRenderedPageBreak/>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rsidR="006D280F" w:rsidRPr="00AB13F5" w:rsidRDefault="006D280F" w:rsidP="006D280F">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rsidR="006D280F" w:rsidRPr="00AB13F5" w:rsidRDefault="006D280F" w:rsidP="006D280F">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rsidR="006D280F" w:rsidRPr="00AB13F5" w:rsidRDefault="006D280F" w:rsidP="006D280F">
      <w:pPr>
        <w:pStyle w:val="Pa29"/>
        <w:numPr>
          <w:ilvl w:val="0"/>
          <w:numId w:val="44"/>
        </w:numPr>
        <w:spacing w:after="120" w:line="240" w:lineRule="auto"/>
        <w:ind w:left="993" w:hanging="284"/>
        <w:contextualSpacing/>
        <w:jc w:val="both"/>
        <w:rPr>
          <w:sz w:val="22"/>
          <w:szCs w:val="22"/>
        </w:rPr>
      </w:pPr>
      <w:r w:rsidRPr="00AB13F5">
        <w:rPr>
          <w:sz w:val="22"/>
          <w:szCs w:val="22"/>
        </w:rPr>
        <w:t>hodnota Změny nepřekročí limit 15 % původní hodnoty závazku; pokud bude provedeno více Změn, je rozhodný součet absolutní hodnoty všech Změn v rámci této Skupiny;</w:t>
      </w:r>
    </w:p>
    <w:p w:rsidR="006D280F" w:rsidRPr="00AB13F5" w:rsidRDefault="006D280F" w:rsidP="006D280F">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rsidR="006D280F" w:rsidRPr="00AB13F5" w:rsidRDefault="006D280F" w:rsidP="006D280F">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6D280F" w:rsidRPr="00AB13F5" w:rsidRDefault="006D280F" w:rsidP="006D280F">
      <w:pPr>
        <w:suppressAutoHyphens/>
        <w:spacing w:after="200"/>
        <w:rPr>
          <w:rStyle w:val="DeltaViewInsertion"/>
          <w:kern w:val="22"/>
          <w:szCs w:val="22"/>
        </w:rPr>
      </w:pPr>
    </w:p>
    <w:p w:rsidR="006D280F" w:rsidRPr="00AB13F5" w:rsidRDefault="006D280F" w:rsidP="006D280F">
      <w:pPr>
        <w:jc w:val="center"/>
        <w:rPr>
          <w:b/>
          <w:szCs w:val="22"/>
        </w:rPr>
      </w:pPr>
      <w:r w:rsidRPr="00AB13F5">
        <w:rPr>
          <w:b/>
          <w:szCs w:val="22"/>
        </w:rPr>
        <w:t>§ 14</w:t>
      </w:r>
    </w:p>
    <w:p w:rsidR="006D280F" w:rsidRPr="00AB13F5" w:rsidRDefault="006D280F" w:rsidP="006D280F">
      <w:pPr>
        <w:pStyle w:val="Odstavecseseznamem"/>
        <w:ind w:left="0"/>
        <w:jc w:val="center"/>
        <w:rPr>
          <w:b/>
        </w:rPr>
      </w:pPr>
      <w:r w:rsidRPr="00AB13F5">
        <w:rPr>
          <w:b/>
        </w:rPr>
        <w:t>Změny záporné</w:t>
      </w:r>
    </w:p>
    <w:p w:rsidR="006D280F" w:rsidRPr="00AB13F5" w:rsidRDefault="006D280F" w:rsidP="006D280F">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lastRenderedPageBreak/>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rsidR="006D280F" w:rsidRPr="00AB13F5" w:rsidRDefault="006D280F" w:rsidP="006D280F">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6D280F" w:rsidRPr="00AB13F5" w:rsidRDefault="006D280F" w:rsidP="006D280F">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rsidR="006D280F" w:rsidRPr="00AB13F5" w:rsidRDefault="006D280F" w:rsidP="006D280F">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6D280F" w:rsidRPr="00AB13F5" w:rsidRDefault="006D280F" w:rsidP="006D280F">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6D280F" w:rsidRPr="00AB13F5" w:rsidRDefault="006D280F" w:rsidP="006D280F">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6D280F" w:rsidRPr="00AB13F5" w:rsidRDefault="006D280F" w:rsidP="006D280F">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rsidR="006D280F" w:rsidRPr="00AB13F5" w:rsidRDefault="006D280F" w:rsidP="006D280F">
      <w:pPr>
        <w:pStyle w:val="Odstavecseseznamem2"/>
        <w:spacing w:line="240" w:lineRule="auto"/>
        <w:ind w:left="714"/>
        <w:jc w:val="both"/>
        <w:rPr>
          <w:rFonts w:ascii="Times New Roman" w:hAnsi="Times New Roman" w:cs="Times New Roman"/>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rsidR="006D280F" w:rsidRPr="00AB13F5" w:rsidRDefault="006D280F" w:rsidP="006D280F">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16</w:t>
      </w:r>
    </w:p>
    <w:p w:rsidR="006D280F" w:rsidRPr="00AB13F5" w:rsidRDefault="006D280F" w:rsidP="006D280F">
      <w:pPr>
        <w:jc w:val="center"/>
        <w:rPr>
          <w:b/>
          <w:szCs w:val="22"/>
        </w:rPr>
      </w:pPr>
      <w:r w:rsidRPr="00AB13F5">
        <w:rPr>
          <w:b/>
          <w:szCs w:val="22"/>
        </w:rPr>
        <w:t xml:space="preserve">Základní postup pro určení Skupiny </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rsidR="006D280F" w:rsidRPr="00AB13F5" w:rsidRDefault="006D280F" w:rsidP="006D280F">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Postupuje v novém zadávacím řízení dle Zákona.</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rsidR="006D280F" w:rsidRPr="00AB13F5" w:rsidRDefault="006D280F" w:rsidP="006D280F">
      <w:pPr>
        <w:spacing w:line="240" w:lineRule="atLeast"/>
        <w:ind w:left="360" w:hanging="360"/>
        <w:jc w:val="center"/>
        <w:rPr>
          <w:b/>
          <w:szCs w:val="22"/>
        </w:rPr>
      </w:pPr>
    </w:p>
    <w:p w:rsidR="006D280F" w:rsidRPr="00AB13F5" w:rsidRDefault="006D280F" w:rsidP="006D280F">
      <w:pPr>
        <w:spacing w:line="240" w:lineRule="atLeast"/>
        <w:ind w:left="360" w:hanging="360"/>
        <w:jc w:val="center"/>
        <w:rPr>
          <w:b/>
          <w:szCs w:val="22"/>
        </w:rPr>
      </w:pPr>
      <w:r w:rsidRPr="00AB13F5">
        <w:rPr>
          <w:b/>
          <w:szCs w:val="22"/>
        </w:rPr>
        <w:t>§ 17</w:t>
      </w:r>
    </w:p>
    <w:p w:rsidR="006D280F" w:rsidRPr="00AB13F5" w:rsidRDefault="006D280F" w:rsidP="006D280F">
      <w:pPr>
        <w:spacing w:line="240" w:lineRule="atLeast"/>
        <w:ind w:left="360" w:hanging="360"/>
        <w:jc w:val="center"/>
        <w:rPr>
          <w:b/>
          <w:szCs w:val="22"/>
        </w:rPr>
      </w:pPr>
      <w:r w:rsidRPr="00AB13F5">
        <w:rPr>
          <w:b/>
          <w:szCs w:val="22"/>
        </w:rPr>
        <w:t>Zásady oceňování Změn a tvorba nových položek</w:t>
      </w:r>
    </w:p>
    <w:p w:rsidR="006D280F" w:rsidRPr="00AB13F5" w:rsidRDefault="006D280F" w:rsidP="006D280F">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iv) z více ověřených nabídek výrobců materiálů,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rsidR="006D280F" w:rsidRPr="00AB13F5" w:rsidRDefault="006D280F" w:rsidP="006D280F">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lastRenderedPageBreak/>
        <w:t>§ 18</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rsidR="006D280F" w:rsidRPr="00AB13F5" w:rsidRDefault="006D280F" w:rsidP="006D280F">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rsidR="006D280F" w:rsidRPr="00AB13F5" w:rsidRDefault="006D280F" w:rsidP="006D280F">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rsidR="006D280F" w:rsidRPr="00AB13F5" w:rsidRDefault="006D280F" w:rsidP="006D280F">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rsidR="006D280F" w:rsidRPr="00AB13F5" w:rsidRDefault="006D280F" w:rsidP="006D280F">
      <w:pPr>
        <w:pStyle w:val="Odstavecseseznamem3"/>
        <w:spacing w:after="0" w:line="240" w:lineRule="auto"/>
        <w:ind w:hanging="294"/>
        <w:rPr>
          <w:rFonts w:ascii="Times New Roman" w:hAnsi="Times New Roman" w:cs="Times New Roman"/>
        </w:rPr>
      </w:pP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rsidR="006D280F" w:rsidRPr="00AB13F5" w:rsidRDefault="006D280F" w:rsidP="006D280F">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Oprávněné osoby (viz též § 2 odst. 10 této Směrnice),</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rsidR="006D280F" w:rsidRPr="00AB13F5" w:rsidRDefault="006D280F" w:rsidP="006D280F">
      <w:pPr>
        <w:pStyle w:val="Odstavecseseznamem4"/>
        <w:spacing w:after="0" w:line="240" w:lineRule="auto"/>
        <w:ind w:left="720"/>
        <w:jc w:val="both"/>
        <w:rPr>
          <w:rFonts w:ascii="Times New Roman" w:hAnsi="Times New Roman" w:cs="Times New Roman"/>
        </w:rPr>
      </w:pP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rsidR="006D280F" w:rsidRPr="00AB13F5" w:rsidRDefault="006D280F" w:rsidP="006D280F">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6D280F" w:rsidRPr="00AB13F5" w:rsidRDefault="006D280F" w:rsidP="006D280F">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6D280F" w:rsidRPr="00AB13F5" w:rsidRDefault="006D280F" w:rsidP="006D280F">
      <w:pPr>
        <w:tabs>
          <w:tab w:val="left" w:pos="600"/>
          <w:tab w:val="left" w:pos="1440"/>
        </w:tabs>
        <w:jc w:val="center"/>
        <w:rPr>
          <w:b/>
          <w:bCs/>
          <w:szCs w:val="22"/>
        </w:rPr>
      </w:pPr>
    </w:p>
    <w:p w:rsidR="006D280F" w:rsidRPr="00AB13F5" w:rsidRDefault="006D280F" w:rsidP="006D280F">
      <w:pPr>
        <w:tabs>
          <w:tab w:val="left" w:pos="600"/>
          <w:tab w:val="left" w:pos="1440"/>
        </w:tabs>
        <w:jc w:val="center"/>
        <w:rPr>
          <w:b/>
          <w:bCs/>
          <w:szCs w:val="22"/>
        </w:rPr>
      </w:pPr>
      <w:r w:rsidRPr="00AB13F5">
        <w:rPr>
          <w:b/>
          <w:bCs/>
          <w:szCs w:val="22"/>
        </w:rPr>
        <w:t>§ 21</w:t>
      </w:r>
    </w:p>
    <w:p w:rsidR="006D280F" w:rsidRPr="00AB13F5" w:rsidRDefault="006D280F" w:rsidP="006D280F">
      <w:pPr>
        <w:tabs>
          <w:tab w:val="left" w:pos="600"/>
          <w:tab w:val="left" w:pos="1440"/>
        </w:tabs>
        <w:spacing w:before="120"/>
        <w:jc w:val="center"/>
        <w:rPr>
          <w:b/>
          <w:bCs/>
          <w:szCs w:val="22"/>
        </w:rPr>
      </w:pPr>
      <w:r w:rsidRPr="00AB13F5">
        <w:rPr>
          <w:b/>
          <w:bCs/>
          <w:szCs w:val="22"/>
        </w:rPr>
        <w:t>Společné zásady</w:t>
      </w:r>
    </w:p>
    <w:p w:rsidR="006D280F" w:rsidRPr="00AB13F5" w:rsidRDefault="006D280F" w:rsidP="006D280F">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w:t>
      </w:r>
      <w:r w:rsidRPr="00AB13F5">
        <w:rPr>
          <w:rFonts w:ascii="Times New Roman" w:hAnsi="Times New Roman" w:cs="Times New Roman"/>
        </w:rPr>
        <w:lastRenderedPageBreak/>
        <w:t>příslušné osobě k vyjádření. V takovém případě běží příslušné osobě lhůta pro vyjádření k návrhu po jeho opětovném předložení od počátku.</w:t>
      </w:r>
    </w:p>
    <w:p w:rsidR="006D280F" w:rsidRPr="00AB13F5" w:rsidRDefault="006D280F" w:rsidP="006D280F">
      <w:pPr>
        <w:rPr>
          <w:b/>
          <w:szCs w:val="22"/>
        </w:rPr>
      </w:pPr>
    </w:p>
    <w:p w:rsidR="006D280F" w:rsidRPr="00AB13F5" w:rsidRDefault="006D280F" w:rsidP="006D280F">
      <w:pPr>
        <w:jc w:val="center"/>
        <w:rPr>
          <w:b/>
          <w:szCs w:val="22"/>
        </w:rPr>
      </w:pPr>
      <w:r w:rsidRPr="00AB13F5">
        <w:rPr>
          <w:b/>
          <w:szCs w:val="22"/>
        </w:rPr>
        <w:t>§ 22</w:t>
      </w:r>
    </w:p>
    <w:p w:rsidR="006D280F" w:rsidRPr="00AB13F5" w:rsidRDefault="006D280F" w:rsidP="006D280F">
      <w:pPr>
        <w:jc w:val="center"/>
        <w:rPr>
          <w:b/>
          <w:szCs w:val="22"/>
        </w:rPr>
      </w:pPr>
      <w:r w:rsidRPr="00AB13F5">
        <w:rPr>
          <w:b/>
          <w:szCs w:val="22"/>
        </w:rPr>
        <w:t>Přechodná a zrušující ustanovení</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6D280F" w:rsidRPr="00AB13F5" w:rsidRDefault="006D280F" w:rsidP="006D280F">
      <w:pPr>
        <w:pStyle w:val="Odstavecseseznamem"/>
        <w:ind w:left="0"/>
        <w:rPr>
          <w:b/>
        </w:rPr>
      </w:pPr>
    </w:p>
    <w:p w:rsidR="006D280F" w:rsidRPr="00AB13F5" w:rsidRDefault="006D280F" w:rsidP="006D280F">
      <w:pPr>
        <w:pStyle w:val="Odstavecseseznamem"/>
        <w:jc w:val="center"/>
        <w:rPr>
          <w:b/>
        </w:rPr>
      </w:pPr>
      <w:r w:rsidRPr="00AB13F5">
        <w:rPr>
          <w:b/>
        </w:rPr>
        <w:t>§ 23</w:t>
      </w:r>
    </w:p>
    <w:p w:rsidR="006D280F" w:rsidRPr="00AB13F5" w:rsidRDefault="006D280F" w:rsidP="006D280F">
      <w:pPr>
        <w:pStyle w:val="Odstavecseseznamem"/>
        <w:jc w:val="center"/>
        <w:rPr>
          <w:b/>
        </w:rPr>
      </w:pPr>
      <w:r w:rsidRPr="00AB13F5">
        <w:rPr>
          <w:b/>
        </w:rPr>
        <w:t>Účinnost</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 xml:space="preserve">§ 24 </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Seznam příloh</w:t>
      </w:r>
    </w:p>
    <w:p w:rsidR="006D280F" w:rsidRPr="00AB13F5" w:rsidRDefault="006D280F" w:rsidP="006D280F">
      <w:pPr>
        <w:pStyle w:val="Odstavecseseznamem"/>
        <w:numPr>
          <w:ilvl w:val="3"/>
          <w:numId w:val="59"/>
        </w:numPr>
        <w:spacing w:line="240" w:lineRule="auto"/>
        <w:contextualSpacing w:val="0"/>
        <w:jc w:val="both"/>
        <w:rPr>
          <w:kern w:val="22"/>
        </w:rPr>
      </w:pPr>
      <w:r w:rsidRPr="00AB13F5">
        <w:t>Krycí list ZBV</w:t>
      </w:r>
    </w:p>
    <w:p w:rsidR="006D280F" w:rsidRPr="00AB13F5" w:rsidRDefault="006D280F" w:rsidP="006D280F">
      <w:pPr>
        <w:pStyle w:val="Odstavecseseznamem"/>
        <w:numPr>
          <w:ilvl w:val="3"/>
          <w:numId w:val="59"/>
        </w:numPr>
        <w:spacing w:line="240" w:lineRule="auto"/>
        <w:contextualSpacing w:val="0"/>
        <w:jc w:val="both"/>
        <w:rPr>
          <w:kern w:val="22"/>
        </w:rPr>
      </w:pPr>
      <w:r w:rsidRPr="00AB13F5">
        <w:t>Změnový list pro Změny Skupiny 1-5</w:t>
      </w:r>
    </w:p>
    <w:p w:rsidR="006D280F" w:rsidRPr="00AB13F5" w:rsidRDefault="006D280F" w:rsidP="006D280F">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rsidR="006D280F" w:rsidRPr="00AB13F5" w:rsidRDefault="006D280F" w:rsidP="006D280F">
      <w:pPr>
        <w:pStyle w:val="Odstavecseseznamem"/>
        <w:numPr>
          <w:ilvl w:val="3"/>
          <w:numId w:val="59"/>
        </w:numPr>
        <w:spacing w:line="240" w:lineRule="auto"/>
        <w:contextualSpacing w:val="0"/>
        <w:jc w:val="both"/>
        <w:rPr>
          <w:kern w:val="22"/>
        </w:rPr>
      </w:pPr>
      <w:r w:rsidRPr="00AB13F5">
        <w:t>Rozpis ocenění změn položek</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zařazení změn do skupin</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dalších dokladů</w:t>
      </w: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rsidR="006D280F" w:rsidRPr="00AB13F5" w:rsidRDefault="006D280F" w:rsidP="006D280F">
      <w:pPr>
        <w:pStyle w:val="Odstavecseseznamem"/>
        <w:ind w:left="709"/>
        <w:jc w:val="both"/>
      </w:pPr>
    </w:p>
    <w:p w:rsidR="006D280F" w:rsidRPr="00AB13F5" w:rsidRDefault="006D280F" w:rsidP="006D280F">
      <w:pPr>
        <w:rPr>
          <w:szCs w:val="22"/>
        </w:rPr>
      </w:pPr>
    </w:p>
    <w:p w:rsidR="006D280F" w:rsidRPr="00AB13F5" w:rsidRDefault="006D280F" w:rsidP="006D280F">
      <w:pPr>
        <w:ind w:left="426"/>
        <w:rPr>
          <w:szCs w:val="22"/>
        </w:rPr>
      </w:pPr>
      <w:r w:rsidRPr="00AB13F5">
        <w:rPr>
          <w:szCs w:val="22"/>
        </w:rPr>
        <w:lastRenderedPageBreak/>
        <w:t xml:space="preserve">V Praze dne </w:t>
      </w:r>
      <w:r>
        <w:rPr>
          <w:b/>
          <w:szCs w:val="22"/>
        </w:rPr>
        <w:t>4.11.2020</w:t>
      </w:r>
    </w:p>
    <w:p w:rsidR="006D280F" w:rsidRPr="00AB13F5" w:rsidRDefault="006D280F" w:rsidP="006D280F">
      <w:pPr>
        <w:ind w:left="5103"/>
        <w:jc w:val="center"/>
        <w:rPr>
          <w:szCs w:val="22"/>
        </w:rPr>
      </w:pPr>
      <w:r w:rsidRPr="00AB13F5">
        <w:rPr>
          <w:szCs w:val="22"/>
        </w:rPr>
        <w:t>…………………………………..</w:t>
      </w:r>
    </w:p>
    <w:p w:rsidR="006D280F" w:rsidRPr="00AB13F5" w:rsidRDefault="006D280F" w:rsidP="006D280F">
      <w:pPr>
        <w:ind w:left="5103"/>
        <w:jc w:val="center"/>
        <w:rPr>
          <w:szCs w:val="22"/>
        </w:rPr>
      </w:pPr>
      <w:r>
        <w:rPr>
          <w:szCs w:val="22"/>
        </w:rPr>
        <w:t>Mgr</w:t>
      </w:r>
      <w:r w:rsidRPr="00AB13F5">
        <w:rPr>
          <w:szCs w:val="22"/>
        </w:rPr>
        <w:t>. Zdeněk Dvořák</w:t>
      </w:r>
      <w:r>
        <w:rPr>
          <w:szCs w:val="22"/>
        </w:rPr>
        <w:t xml:space="preserve"> MPA</w:t>
      </w:r>
    </w:p>
    <w:p w:rsidR="006D280F" w:rsidRPr="00AB13F5" w:rsidRDefault="006D280F" w:rsidP="006D280F">
      <w:pPr>
        <w:ind w:left="5103"/>
        <w:jc w:val="center"/>
        <w:rPr>
          <w:szCs w:val="22"/>
        </w:rPr>
      </w:pPr>
      <w:r w:rsidRPr="00AB13F5">
        <w:rPr>
          <w:szCs w:val="22"/>
        </w:rPr>
        <w:t>ředitel</w:t>
      </w:r>
    </w:p>
    <w:p w:rsidR="006D280F" w:rsidRPr="00AB13F5" w:rsidRDefault="006D280F" w:rsidP="006D280F">
      <w:pPr>
        <w:spacing w:after="200"/>
        <w:rPr>
          <w:rStyle w:val="DeltaViewInsertion"/>
          <w:b/>
          <w:kern w:val="22"/>
          <w:szCs w:val="22"/>
        </w:rPr>
      </w:pPr>
    </w:p>
    <w:p w:rsidR="00A80F72" w:rsidRDefault="00A80F72" w:rsidP="00A80F72">
      <w:pPr>
        <w:rPr>
          <w:szCs w:val="22"/>
        </w:rPr>
        <w:sectPr w:rsidR="00A80F72" w:rsidSect="00B722D5">
          <w:headerReference w:type="first" r:id="rId36"/>
          <w:footerReference w:type="first" r:id="rId37"/>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40"/>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42"/>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44" o:title=""/>
          </v:shape>
          <o:OLEObject Type="Embed" ProgID="Excel.Sheet.12" ShapeID="_x0000_i1025" DrawAspect="Content" ObjectID="_1686546070" r:id="rId45"/>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740FA1">
        <w:tc>
          <w:tcPr>
            <w:tcW w:w="396" w:type="dxa"/>
            <w:vAlign w:val="center"/>
          </w:tcPr>
          <w:p w:rsidR="0078010E" w:rsidRPr="00357FE4" w:rsidRDefault="0078010E" w:rsidP="00740FA1">
            <w:pPr>
              <w:pStyle w:val="NormalJustified"/>
              <w:spacing w:before="120" w:after="120"/>
              <w:jc w:val="center"/>
              <w:rPr>
                <w:bCs/>
                <w:szCs w:val="24"/>
              </w:rPr>
            </w:pPr>
          </w:p>
        </w:tc>
        <w:tc>
          <w:tcPr>
            <w:tcW w:w="2965" w:type="dxa"/>
            <w:vAlign w:val="center"/>
          </w:tcPr>
          <w:p w:rsidR="0078010E" w:rsidRPr="00C12A20" w:rsidRDefault="0078010E" w:rsidP="00740FA1">
            <w:pPr>
              <w:pStyle w:val="NormalJustified"/>
              <w:spacing w:before="120" w:after="120"/>
              <w:jc w:val="center"/>
              <w:rPr>
                <w:b/>
                <w:bCs/>
                <w:szCs w:val="24"/>
              </w:rPr>
            </w:pPr>
            <w:r w:rsidRPr="00C12A20">
              <w:rPr>
                <w:b/>
                <w:bCs/>
                <w:szCs w:val="24"/>
              </w:rPr>
              <w:t>Identifikační údaje poddodavatele</w:t>
            </w:r>
          </w:p>
          <w:p w:rsidR="0078010E" w:rsidRPr="00C12A20" w:rsidRDefault="0078010E" w:rsidP="00740FA1">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740FA1">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740FA1">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740FA1">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740FA1">
        <w:tc>
          <w:tcPr>
            <w:tcW w:w="396" w:type="dxa"/>
            <w:vAlign w:val="center"/>
          </w:tcPr>
          <w:p w:rsidR="0078010E" w:rsidRPr="00357FE4" w:rsidRDefault="0078010E" w:rsidP="00740FA1">
            <w:pPr>
              <w:pStyle w:val="NormalJustified"/>
              <w:spacing w:before="120" w:after="120"/>
              <w:jc w:val="center"/>
              <w:rPr>
                <w:bCs/>
                <w:szCs w:val="24"/>
              </w:rPr>
            </w:pPr>
            <w:r w:rsidRPr="00357FE4">
              <w:rPr>
                <w:bCs/>
                <w:szCs w:val="24"/>
              </w:rPr>
              <w:t>1.</w:t>
            </w:r>
          </w:p>
        </w:tc>
        <w:tc>
          <w:tcPr>
            <w:tcW w:w="2965" w:type="dxa"/>
          </w:tcPr>
          <w:p w:rsidR="0078010E" w:rsidRPr="00357FE4" w:rsidRDefault="0078010E" w:rsidP="00740FA1">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r>
      <w:tr w:rsidR="0078010E" w:rsidRPr="00357FE4" w:rsidTr="00740FA1">
        <w:tc>
          <w:tcPr>
            <w:tcW w:w="396" w:type="dxa"/>
            <w:vAlign w:val="center"/>
          </w:tcPr>
          <w:p w:rsidR="0078010E" w:rsidRPr="00357FE4" w:rsidRDefault="0078010E" w:rsidP="00740FA1">
            <w:pPr>
              <w:pStyle w:val="NormalJustified"/>
              <w:spacing w:before="120" w:after="120"/>
              <w:jc w:val="center"/>
              <w:rPr>
                <w:bCs/>
                <w:szCs w:val="24"/>
              </w:rPr>
            </w:pPr>
            <w:r w:rsidRPr="00357FE4">
              <w:rPr>
                <w:bCs/>
                <w:szCs w:val="24"/>
              </w:rPr>
              <w:t>2.</w:t>
            </w:r>
          </w:p>
        </w:tc>
        <w:tc>
          <w:tcPr>
            <w:tcW w:w="2965"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740FA1">
            <w:pPr>
              <w:pStyle w:val="NormalJustified"/>
              <w:spacing w:before="120" w:after="120"/>
              <w:rPr>
                <w:bCs/>
                <w:szCs w:val="24"/>
              </w:rPr>
            </w:pPr>
            <w:r w:rsidRPr="00AD3188">
              <w:rPr>
                <w:sz w:val="22"/>
                <w:szCs w:val="22"/>
                <w:highlight w:val="cyan"/>
              </w:rPr>
              <w:t>[BUDE DOPLNĚNO]</w:t>
            </w:r>
          </w:p>
        </w:tc>
      </w:tr>
      <w:tr w:rsidR="0078010E" w:rsidRPr="00357FE4" w:rsidTr="00740FA1">
        <w:tc>
          <w:tcPr>
            <w:tcW w:w="396" w:type="dxa"/>
            <w:vAlign w:val="center"/>
          </w:tcPr>
          <w:p w:rsidR="0078010E" w:rsidRPr="00357FE4" w:rsidRDefault="0078010E" w:rsidP="00740FA1">
            <w:pPr>
              <w:pStyle w:val="NormalJustified"/>
              <w:spacing w:before="120" w:after="120"/>
              <w:jc w:val="center"/>
              <w:rPr>
                <w:bCs/>
                <w:szCs w:val="24"/>
              </w:rPr>
            </w:pPr>
            <w:r w:rsidRPr="00357FE4">
              <w:rPr>
                <w:bCs/>
                <w:szCs w:val="24"/>
              </w:rPr>
              <w:t>3.</w:t>
            </w:r>
          </w:p>
        </w:tc>
        <w:tc>
          <w:tcPr>
            <w:tcW w:w="2965"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740FA1">
            <w:pPr>
              <w:pStyle w:val="NormalJustified"/>
              <w:spacing w:before="120" w:after="120"/>
              <w:rPr>
                <w:bCs/>
                <w:szCs w:val="24"/>
              </w:rPr>
            </w:pPr>
            <w:r w:rsidRPr="00AD3188">
              <w:rPr>
                <w:sz w:val="22"/>
                <w:szCs w:val="22"/>
                <w:highlight w:val="cyan"/>
              </w:rPr>
              <w:t>[BUDE DOPLNĚNO]</w:t>
            </w:r>
          </w:p>
        </w:tc>
      </w:tr>
      <w:tr w:rsidR="0078010E" w:rsidRPr="00357FE4" w:rsidTr="00740FA1">
        <w:tc>
          <w:tcPr>
            <w:tcW w:w="396" w:type="dxa"/>
            <w:vAlign w:val="center"/>
          </w:tcPr>
          <w:p w:rsidR="0078010E" w:rsidRPr="00357FE4" w:rsidRDefault="0078010E" w:rsidP="00740FA1">
            <w:pPr>
              <w:pStyle w:val="NormalJustified"/>
              <w:spacing w:before="120" w:after="120"/>
              <w:jc w:val="center"/>
              <w:rPr>
                <w:bCs/>
                <w:szCs w:val="24"/>
              </w:rPr>
            </w:pPr>
            <w:r w:rsidRPr="00357FE4">
              <w:rPr>
                <w:bCs/>
                <w:szCs w:val="24"/>
              </w:rPr>
              <w:t>4.</w:t>
            </w:r>
          </w:p>
        </w:tc>
        <w:tc>
          <w:tcPr>
            <w:tcW w:w="2965"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740FA1">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740FA1">
            <w:pPr>
              <w:pStyle w:val="NormalJustified"/>
              <w:spacing w:before="120" w:after="120"/>
              <w:rPr>
                <w:bCs/>
                <w:szCs w:val="24"/>
              </w:rPr>
            </w:pPr>
            <w:r w:rsidRPr="006A3CFE">
              <w:rPr>
                <w:sz w:val="22"/>
                <w:szCs w:val="22"/>
                <w:highlight w:val="cyan"/>
              </w:rPr>
              <w:t>[BUDE DOPLNĚNO]</w:t>
            </w:r>
          </w:p>
        </w:tc>
      </w:tr>
      <w:tr w:rsidR="0078010E" w:rsidRPr="00357FE4" w:rsidTr="00740FA1">
        <w:tc>
          <w:tcPr>
            <w:tcW w:w="396" w:type="dxa"/>
            <w:vAlign w:val="center"/>
          </w:tcPr>
          <w:p w:rsidR="0078010E" w:rsidRPr="00357FE4" w:rsidRDefault="0078010E" w:rsidP="00740FA1">
            <w:pPr>
              <w:pStyle w:val="NormalJustified"/>
              <w:spacing w:before="120" w:after="120"/>
              <w:jc w:val="center"/>
              <w:rPr>
                <w:bCs/>
                <w:szCs w:val="24"/>
              </w:rPr>
            </w:pPr>
            <w:r w:rsidRPr="00357FE4">
              <w:rPr>
                <w:bCs/>
                <w:szCs w:val="24"/>
              </w:rPr>
              <w:t>5.</w:t>
            </w:r>
          </w:p>
        </w:tc>
        <w:tc>
          <w:tcPr>
            <w:tcW w:w="2965" w:type="dxa"/>
          </w:tcPr>
          <w:p w:rsidR="0078010E" w:rsidRPr="00357FE4" w:rsidRDefault="0078010E" w:rsidP="00740FA1">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740FA1">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740FA1">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740FA1">
        <w:tc>
          <w:tcPr>
            <w:tcW w:w="4961" w:type="dxa"/>
          </w:tcPr>
          <w:p w:rsidR="0078010E" w:rsidRPr="00F04838" w:rsidRDefault="0078010E" w:rsidP="00740FA1">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740FA1">
        <w:tc>
          <w:tcPr>
            <w:tcW w:w="4961" w:type="dxa"/>
          </w:tcPr>
          <w:p w:rsidR="0078010E" w:rsidRPr="00F04838" w:rsidRDefault="0078010E" w:rsidP="00740FA1">
            <w:pPr>
              <w:pStyle w:val="zkltextcentr12"/>
              <w:spacing w:before="80"/>
              <w:jc w:val="both"/>
              <w:rPr>
                <w:sz w:val="22"/>
                <w:szCs w:val="22"/>
              </w:rPr>
            </w:pPr>
          </w:p>
          <w:p w:rsidR="0078010E" w:rsidRPr="00F04838" w:rsidRDefault="0078010E" w:rsidP="00740FA1">
            <w:pPr>
              <w:pStyle w:val="zkltextcentr12"/>
              <w:spacing w:before="80"/>
              <w:jc w:val="both"/>
              <w:rPr>
                <w:sz w:val="22"/>
                <w:szCs w:val="22"/>
              </w:rPr>
            </w:pPr>
          </w:p>
          <w:p w:rsidR="0078010E" w:rsidRPr="00F04838" w:rsidRDefault="0078010E" w:rsidP="00740FA1">
            <w:pPr>
              <w:pStyle w:val="zkltextcentr12"/>
              <w:spacing w:before="80"/>
              <w:jc w:val="both"/>
              <w:rPr>
                <w:sz w:val="22"/>
                <w:szCs w:val="22"/>
              </w:rPr>
            </w:pPr>
          </w:p>
          <w:p w:rsidR="0078010E" w:rsidRPr="00F04838" w:rsidRDefault="0078010E" w:rsidP="00740FA1">
            <w:pPr>
              <w:pStyle w:val="zkltextcentr12"/>
              <w:spacing w:before="80"/>
              <w:jc w:val="both"/>
              <w:rPr>
                <w:sz w:val="22"/>
                <w:szCs w:val="22"/>
              </w:rPr>
            </w:pPr>
            <w:r w:rsidRPr="0038024A">
              <w:rPr>
                <w:sz w:val="22"/>
                <w:szCs w:val="22"/>
              </w:rPr>
              <w:t>______________________________</w:t>
            </w:r>
          </w:p>
        </w:tc>
      </w:tr>
      <w:tr w:rsidR="0078010E" w:rsidRPr="00F04838" w:rsidTr="00740FA1">
        <w:trPr>
          <w:trHeight w:val="351"/>
        </w:trPr>
        <w:tc>
          <w:tcPr>
            <w:tcW w:w="4961" w:type="dxa"/>
          </w:tcPr>
          <w:p w:rsidR="0078010E" w:rsidRPr="00F04838" w:rsidRDefault="0078010E" w:rsidP="00740FA1">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sectPr w:rsidR="0078010E" w:rsidSect="009B6FC2">
      <w:footerReference w:type="default" r:id="rId47"/>
      <w:footerReference w:type="firs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2A" w:rsidRDefault="00C1642A" w:rsidP="003C6092">
      <w:r>
        <w:separator/>
      </w:r>
    </w:p>
  </w:endnote>
  <w:endnote w:type="continuationSeparator" w:id="0">
    <w:p w:rsidR="00C1642A" w:rsidRDefault="00C1642A"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4136"/>
      <w:docPartObj>
        <w:docPartGallery w:val="Page Numbers (Bottom of Page)"/>
        <w:docPartUnique/>
      </w:docPartObj>
    </w:sdtPr>
    <w:sdtEndPr>
      <w:rPr>
        <w:sz w:val="20"/>
      </w:rPr>
    </w:sdtEndPr>
    <w:sdtContent>
      <w:p w:rsidR="00740FA1" w:rsidRPr="00184576" w:rsidRDefault="00740FA1">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376B6E">
          <w:rPr>
            <w:noProof/>
            <w:sz w:val="20"/>
          </w:rPr>
          <w:t>20</w:t>
        </w:r>
        <w:r w:rsidRPr="00184576">
          <w:rPr>
            <w:sz w:val="20"/>
          </w:rPr>
          <w:fldChar w:fldCharType="end"/>
        </w:r>
      </w:p>
    </w:sdtContent>
  </w:sdt>
  <w:p w:rsidR="00740FA1" w:rsidRDefault="00740FA1">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Default="00740FA1">
    <w:pPr>
      <w:pStyle w:val="Zpat"/>
      <w:jc w:val="center"/>
    </w:pPr>
  </w:p>
  <w:p w:rsidR="00740FA1" w:rsidRDefault="00740FA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16465"/>
      <w:docPartObj>
        <w:docPartGallery w:val="Page Numbers (Bottom of Page)"/>
        <w:docPartUnique/>
      </w:docPartObj>
    </w:sdtPr>
    <w:sdtEndPr/>
    <w:sdtContent>
      <w:p w:rsidR="00740FA1" w:rsidRDefault="00740FA1">
        <w:pPr>
          <w:pStyle w:val="Zpat"/>
          <w:jc w:val="center"/>
        </w:pPr>
        <w:r>
          <w:fldChar w:fldCharType="begin"/>
        </w:r>
        <w:r>
          <w:instrText>PAGE   \* MERGEFORMAT</w:instrText>
        </w:r>
        <w:r>
          <w:fldChar w:fldCharType="separate"/>
        </w:r>
        <w:r w:rsidR="00376B6E">
          <w:rPr>
            <w:noProof/>
          </w:rPr>
          <w:t>1</w:t>
        </w:r>
        <w:r>
          <w:rPr>
            <w:noProof/>
          </w:rPr>
          <w:fldChar w:fldCharType="end"/>
        </w:r>
      </w:p>
    </w:sdtContent>
  </w:sdt>
  <w:p w:rsidR="00740FA1" w:rsidRDefault="00740FA1">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F6793D" w:rsidRDefault="00740FA1" w:rsidP="00F6793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Default="00740FA1">
    <w:pPr>
      <w:pStyle w:val="Zpat"/>
      <w:jc w:val="center"/>
    </w:pPr>
  </w:p>
  <w:p w:rsidR="00740FA1" w:rsidRDefault="00740FA1">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0A65D6" w:rsidRDefault="00740FA1"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Default="00740FA1" w:rsidP="00F6793D">
    <w:pPr>
      <w:pStyle w:val="Zpat"/>
      <w:pBdr>
        <w:top w:val="single" w:sz="4" w:space="1" w:color="auto"/>
      </w:pBdr>
      <w:rPr>
        <w:b/>
        <w:i/>
        <w:sz w:val="18"/>
      </w:rPr>
    </w:pPr>
    <w:r>
      <w:rPr>
        <w:b/>
        <w:i/>
        <w:sz w:val="18"/>
      </w:rPr>
      <w:t>Platnost od 29.05.2017                                                                                                           účinnost od 29.05.2017</w:t>
    </w:r>
  </w:p>
  <w:p w:rsidR="00740FA1" w:rsidRDefault="00740FA1" w:rsidP="000A65D6">
    <w:pPr>
      <w:pStyle w:val="Zpat"/>
      <w:tabs>
        <w:tab w:val="left" w:pos="885"/>
      </w:tabs>
    </w:pPr>
    <w:r>
      <w:tab/>
    </w:r>
  </w:p>
  <w:p w:rsidR="00740FA1" w:rsidRDefault="00740FA1">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Default="00740FA1">
    <w:pPr>
      <w:pStyle w:val="Zpat"/>
      <w:jc w:val="center"/>
    </w:pPr>
  </w:p>
  <w:p w:rsidR="00740FA1" w:rsidRDefault="00740FA1">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F6793D" w:rsidRDefault="00740FA1" w:rsidP="00F6793D">
    <w:pPr>
      <w:pStyle w:val="Zpa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184576" w:rsidRDefault="00740FA1">
    <w:pPr>
      <w:pStyle w:val="Zpat"/>
      <w:jc w:val="center"/>
      <w:rPr>
        <w:sz w:val="20"/>
      </w:rPr>
    </w:pPr>
  </w:p>
  <w:p w:rsidR="00740FA1" w:rsidRDefault="00740FA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2A" w:rsidRDefault="00C1642A" w:rsidP="003C6092">
      <w:r>
        <w:separator/>
      </w:r>
    </w:p>
  </w:footnote>
  <w:footnote w:type="continuationSeparator" w:id="0">
    <w:p w:rsidR="00C1642A" w:rsidRDefault="00C1642A" w:rsidP="003C6092">
      <w:r>
        <w:continuationSeparator/>
      </w:r>
    </w:p>
  </w:footnote>
  <w:footnote w:id="1">
    <w:p w:rsidR="00740FA1" w:rsidRDefault="00740FA1"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740FA1" w:rsidRDefault="00740FA1"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740FA1" w:rsidRPr="00C41596" w:rsidRDefault="00740FA1"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740FA1" w:rsidRPr="00C41596" w:rsidRDefault="00740FA1" w:rsidP="0078010E">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Default="00740FA1"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404423" w:rsidRDefault="00740FA1"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740FA1" w:rsidTr="00B722D5">
      <w:trPr>
        <w:cantSplit/>
        <w:trHeight w:val="129"/>
        <w:jc w:val="center"/>
      </w:trPr>
      <w:tc>
        <w:tcPr>
          <w:tcW w:w="1856" w:type="dxa"/>
          <w:vMerge w:val="restart"/>
          <w:vAlign w:val="center"/>
        </w:tcPr>
        <w:p w:rsidR="00740FA1" w:rsidRDefault="00740FA1"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740FA1" w:rsidRPr="004F1040" w:rsidRDefault="00740FA1"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740FA1" w:rsidRPr="00BA5BE0" w:rsidRDefault="00740FA1"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740FA1" w:rsidRPr="00733DEB" w:rsidRDefault="00740FA1"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740FA1" w:rsidRPr="004F1040" w:rsidRDefault="00740FA1"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376B6E">
            <w:rPr>
              <w:rFonts w:ascii="Calibri" w:hAnsi="Calibri" w:cs="Calibri"/>
              <w:noProof/>
              <w:sz w:val="18"/>
            </w:rPr>
            <w:t>48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376B6E">
            <w:rPr>
              <w:rFonts w:ascii="Calibri" w:hAnsi="Calibri" w:cs="Calibri"/>
              <w:noProof/>
              <w:sz w:val="18"/>
            </w:rPr>
            <w:t>48</w:t>
          </w:r>
          <w:r w:rsidRPr="004F1040">
            <w:rPr>
              <w:rFonts w:ascii="Calibri" w:hAnsi="Calibri" w:cs="Calibri"/>
              <w:sz w:val="18"/>
            </w:rPr>
            <w:fldChar w:fldCharType="end"/>
          </w:r>
          <w:r w:rsidRPr="004F1040">
            <w:rPr>
              <w:rFonts w:ascii="Calibri" w:hAnsi="Calibri" w:cs="Calibri"/>
              <w:sz w:val="18"/>
            </w:rPr>
            <w:t>)</w:t>
          </w:r>
        </w:p>
        <w:p w:rsidR="00740FA1" w:rsidRPr="004F1040" w:rsidRDefault="00740FA1"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740FA1" w:rsidRDefault="00740FA1"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740FA1" w:rsidTr="00B722D5">
      <w:trPr>
        <w:cantSplit/>
        <w:trHeight w:val="129"/>
        <w:jc w:val="center"/>
      </w:trPr>
      <w:tc>
        <w:tcPr>
          <w:tcW w:w="1856" w:type="dxa"/>
          <w:vMerge/>
        </w:tcPr>
        <w:p w:rsidR="00740FA1" w:rsidRDefault="00740FA1" w:rsidP="00B722D5">
          <w:pPr>
            <w:pStyle w:val="Zhlav"/>
            <w:rPr>
              <w:noProof/>
            </w:rPr>
          </w:pPr>
        </w:p>
      </w:tc>
      <w:tc>
        <w:tcPr>
          <w:tcW w:w="5483" w:type="dxa"/>
          <w:vAlign w:val="center"/>
        </w:tcPr>
        <w:p w:rsidR="00740FA1" w:rsidRPr="005E7515" w:rsidRDefault="00740FA1" w:rsidP="00B722D5">
          <w:pPr>
            <w:pStyle w:val="Zhlav"/>
            <w:spacing w:before="60"/>
            <w:jc w:val="center"/>
            <w:rPr>
              <w:b/>
              <w:noProof/>
            </w:rPr>
          </w:pPr>
          <w:r>
            <w:rPr>
              <w:b/>
              <w:noProof/>
            </w:rPr>
            <w:t>R-Sm-36</w:t>
          </w:r>
        </w:p>
      </w:tc>
      <w:tc>
        <w:tcPr>
          <w:tcW w:w="1842" w:type="dxa"/>
          <w:vMerge/>
        </w:tcPr>
        <w:p w:rsidR="00740FA1" w:rsidRDefault="00740FA1" w:rsidP="00B722D5">
          <w:pPr>
            <w:pStyle w:val="Zhlav"/>
            <w:rPr>
              <w:noProof/>
            </w:rPr>
          </w:pPr>
        </w:p>
      </w:tc>
    </w:tr>
  </w:tbl>
  <w:p w:rsidR="00740FA1" w:rsidRDefault="00740FA1"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404423" w:rsidRDefault="00740FA1"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740FA1" w:rsidTr="00B722D5">
      <w:trPr>
        <w:cantSplit/>
        <w:trHeight w:val="129"/>
        <w:jc w:val="center"/>
      </w:trPr>
      <w:tc>
        <w:tcPr>
          <w:tcW w:w="1856" w:type="dxa"/>
          <w:vMerge w:val="restart"/>
          <w:vAlign w:val="center"/>
        </w:tcPr>
        <w:p w:rsidR="00740FA1" w:rsidRDefault="00740FA1"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740FA1" w:rsidRPr="004F1040" w:rsidRDefault="00740FA1"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740FA1" w:rsidRPr="00BA5BE0" w:rsidRDefault="00740FA1"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740FA1" w:rsidRPr="00733DEB" w:rsidRDefault="00740FA1"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740FA1" w:rsidRPr="004F1040" w:rsidRDefault="00740FA1"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376B6E">
            <w:rPr>
              <w:rFonts w:ascii="Calibri" w:hAnsi="Calibri" w:cs="Calibri"/>
              <w:noProof/>
              <w:sz w:val="18"/>
            </w:rPr>
            <w:t>28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376B6E">
            <w:rPr>
              <w:rFonts w:ascii="Calibri" w:hAnsi="Calibri" w:cs="Calibri"/>
              <w:noProof/>
              <w:sz w:val="18"/>
            </w:rPr>
            <w:t>30</w:t>
          </w:r>
          <w:r w:rsidRPr="004F1040">
            <w:rPr>
              <w:rFonts w:ascii="Calibri" w:hAnsi="Calibri" w:cs="Calibri"/>
              <w:sz w:val="18"/>
            </w:rPr>
            <w:fldChar w:fldCharType="end"/>
          </w:r>
          <w:r w:rsidRPr="004F1040">
            <w:rPr>
              <w:rFonts w:ascii="Calibri" w:hAnsi="Calibri" w:cs="Calibri"/>
              <w:sz w:val="18"/>
            </w:rPr>
            <w:t>)</w:t>
          </w:r>
        </w:p>
        <w:p w:rsidR="00740FA1" w:rsidRPr="004F1040" w:rsidRDefault="00740FA1"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740FA1" w:rsidRDefault="00740FA1"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740FA1" w:rsidTr="00B722D5">
      <w:trPr>
        <w:cantSplit/>
        <w:trHeight w:val="129"/>
        <w:jc w:val="center"/>
      </w:trPr>
      <w:tc>
        <w:tcPr>
          <w:tcW w:w="1856" w:type="dxa"/>
          <w:vMerge/>
        </w:tcPr>
        <w:p w:rsidR="00740FA1" w:rsidRDefault="00740FA1" w:rsidP="00B722D5">
          <w:pPr>
            <w:pStyle w:val="Zhlav"/>
            <w:rPr>
              <w:noProof/>
            </w:rPr>
          </w:pPr>
        </w:p>
      </w:tc>
      <w:tc>
        <w:tcPr>
          <w:tcW w:w="5483" w:type="dxa"/>
          <w:vAlign w:val="center"/>
        </w:tcPr>
        <w:p w:rsidR="00740FA1" w:rsidRPr="005E7515" w:rsidRDefault="00740FA1" w:rsidP="00B722D5">
          <w:pPr>
            <w:pStyle w:val="Zhlav"/>
            <w:spacing w:before="60"/>
            <w:jc w:val="center"/>
            <w:rPr>
              <w:b/>
              <w:noProof/>
            </w:rPr>
          </w:pPr>
          <w:r>
            <w:rPr>
              <w:b/>
              <w:noProof/>
            </w:rPr>
            <w:t>R-Sm-36</w:t>
          </w:r>
        </w:p>
      </w:tc>
      <w:tc>
        <w:tcPr>
          <w:tcW w:w="1842" w:type="dxa"/>
          <w:vMerge/>
        </w:tcPr>
        <w:p w:rsidR="00740FA1" w:rsidRDefault="00740FA1" w:rsidP="00B722D5">
          <w:pPr>
            <w:pStyle w:val="Zhlav"/>
            <w:rPr>
              <w:noProof/>
            </w:rPr>
          </w:pPr>
        </w:p>
      </w:tc>
    </w:tr>
  </w:tbl>
  <w:p w:rsidR="00740FA1" w:rsidRDefault="00740FA1">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Pr="00B722D5" w:rsidRDefault="00740FA1" w:rsidP="00B722D5">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1" w:rsidRDefault="00740FA1"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29"/>
        </w:tabs>
        <w:ind w:left="1429"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469F"/>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051D"/>
    <w:rsid w:val="002813A4"/>
    <w:rsid w:val="0028428B"/>
    <w:rsid w:val="0028711E"/>
    <w:rsid w:val="00287F7F"/>
    <w:rsid w:val="00297A64"/>
    <w:rsid w:val="002A4390"/>
    <w:rsid w:val="002A7012"/>
    <w:rsid w:val="002B0BFD"/>
    <w:rsid w:val="002B3015"/>
    <w:rsid w:val="002B3EAB"/>
    <w:rsid w:val="002B744B"/>
    <w:rsid w:val="002C3826"/>
    <w:rsid w:val="002C3CCD"/>
    <w:rsid w:val="002C5F9C"/>
    <w:rsid w:val="002E0CED"/>
    <w:rsid w:val="002E74D3"/>
    <w:rsid w:val="002F41A6"/>
    <w:rsid w:val="002F7245"/>
    <w:rsid w:val="003004FA"/>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66176"/>
    <w:rsid w:val="00370C26"/>
    <w:rsid w:val="00370F16"/>
    <w:rsid w:val="00374AB2"/>
    <w:rsid w:val="00376854"/>
    <w:rsid w:val="00376B6E"/>
    <w:rsid w:val="0038024A"/>
    <w:rsid w:val="00383B1A"/>
    <w:rsid w:val="00390060"/>
    <w:rsid w:val="00390140"/>
    <w:rsid w:val="00392F17"/>
    <w:rsid w:val="00393233"/>
    <w:rsid w:val="00394C39"/>
    <w:rsid w:val="0039660A"/>
    <w:rsid w:val="003A2360"/>
    <w:rsid w:val="003A27E1"/>
    <w:rsid w:val="003A6146"/>
    <w:rsid w:val="003A7343"/>
    <w:rsid w:val="003B17C3"/>
    <w:rsid w:val="003C47EE"/>
    <w:rsid w:val="003C6092"/>
    <w:rsid w:val="003C77D1"/>
    <w:rsid w:val="003D18C8"/>
    <w:rsid w:val="003D2132"/>
    <w:rsid w:val="003D36E4"/>
    <w:rsid w:val="003D5ABD"/>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7147B"/>
    <w:rsid w:val="00472CF8"/>
    <w:rsid w:val="0048264B"/>
    <w:rsid w:val="00483364"/>
    <w:rsid w:val="00484FFC"/>
    <w:rsid w:val="004859D2"/>
    <w:rsid w:val="00486E7B"/>
    <w:rsid w:val="00494AFE"/>
    <w:rsid w:val="004969E9"/>
    <w:rsid w:val="00497FDC"/>
    <w:rsid w:val="004A3364"/>
    <w:rsid w:val="004B1F71"/>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280F"/>
    <w:rsid w:val="006D6CFD"/>
    <w:rsid w:val="006E1763"/>
    <w:rsid w:val="006E236A"/>
    <w:rsid w:val="006E3748"/>
    <w:rsid w:val="006F236C"/>
    <w:rsid w:val="006F23D7"/>
    <w:rsid w:val="006F7238"/>
    <w:rsid w:val="006F7D7F"/>
    <w:rsid w:val="0070196C"/>
    <w:rsid w:val="00701D52"/>
    <w:rsid w:val="00703178"/>
    <w:rsid w:val="00704B29"/>
    <w:rsid w:val="00705473"/>
    <w:rsid w:val="007068A2"/>
    <w:rsid w:val="00707492"/>
    <w:rsid w:val="0071173F"/>
    <w:rsid w:val="0071363C"/>
    <w:rsid w:val="00713E25"/>
    <w:rsid w:val="007144FD"/>
    <w:rsid w:val="00715994"/>
    <w:rsid w:val="00716039"/>
    <w:rsid w:val="007212C5"/>
    <w:rsid w:val="00722C0E"/>
    <w:rsid w:val="007315E1"/>
    <w:rsid w:val="00736B2C"/>
    <w:rsid w:val="00740FA1"/>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A77E4"/>
    <w:rsid w:val="007B79C6"/>
    <w:rsid w:val="007C1E9F"/>
    <w:rsid w:val="007C3A3B"/>
    <w:rsid w:val="007C452C"/>
    <w:rsid w:val="007D205C"/>
    <w:rsid w:val="007D2E24"/>
    <w:rsid w:val="007D3ED1"/>
    <w:rsid w:val="007D40BE"/>
    <w:rsid w:val="007E709C"/>
    <w:rsid w:val="007F1596"/>
    <w:rsid w:val="007F3FA9"/>
    <w:rsid w:val="007F759E"/>
    <w:rsid w:val="0080444C"/>
    <w:rsid w:val="008060C5"/>
    <w:rsid w:val="008130CF"/>
    <w:rsid w:val="00813633"/>
    <w:rsid w:val="008237B3"/>
    <w:rsid w:val="008240AB"/>
    <w:rsid w:val="008306F6"/>
    <w:rsid w:val="00833EA9"/>
    <w:rsid w:val="00840CE7"/>
    <w:rsid w:val="0084125B"/>
    <w:rsid w:val="0085192C"/>
    <w:rsid w:val="00854FEF"/>
    <w:rsid w:val="0085681E"/>
    <w:rsid w:val="00862740"/>
    <w:rsid w:val="00870C00"/>
    <w:rsid w:val="00873413"/>
    <w:rsid w:val="00875D8A"/>
    <w:rsid w:val="00886D35"/>
    <w:rsid w:val="00886F28"/>
    <w:rsid w:val="00887CD4"/>
    <w:rsid w:val="00891306"/>
    <w:rsid w:val="0089494B"/>
    <w:rsid w:val="008A1ADE"/>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1533"/>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42A"/>
    <w:rsid w:val="00C16978"/>
    <w:rsid w:val="00C2091E"/>
    <w:rsid w:val="00C20B4B"/>
    <w:rsid w:val="00C23B81"/>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40A4"/>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1395"/>
    <w:rsid w:val="00DD2117"/>
    <w:rsid w:val="00DD369B"/>
    <w:rsid w:val="00DE1557"/>
    <w:rsid w:val="00DE52F9"/>
    <w:rsid w:val="00DE5E30"/>
    <w:rsid w:val="00DE5FAB"/>
    <w:rsid w:val="00DF217C"/>
    <w:rsid w:val="00E0056F"/>
    <w:rsid w:val="00E006DF"/>
    <w:rsid w:val="00E00A2B"/>
    <w:rsid w:val="00E03D24"/>
    <w:rsid w:val="00E05A4F"/>
    <w:rsid w:val="00E06198"/>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C7271"/>
    <w:rsid w:val="00ED531E"/>
    <w:rsid w:val="00ED580B"/>
    <w:rsid w:val="00ED5BB0"/>
    <w:rsid w:val="00ED6D55"/>
    <w:rsid w:val="00EE40EF"/>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0FDD"/>
    <w:rsid w:val="00FA5F8D"/>
    <w:rsid w:val="00FA764D"/>
    <w:rsid w:val="00FB2064"/>
    <w:rsid w:val="00FB2565"/>
    <w:rsid w:val="00FB2726"/>
    <w:rsid w:val="00FB29EA"/>
    <w:rsid w:val="00FB7318"/>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B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146215817">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zitny@vakmb.cz" TargetMode="External"/><Relationship Id="rId18" Type="http://schemas.openxmlformats.org/officeDocument/2006/relationships/hyperlink" Target="mailto:petr.valkoun@ksus.cz" TargetMode="External"/><Relationship Id="rId26" Type="http://schemas.openxmlformats.org/officeDocument/2006/relationships/footer" Target="footer1.xml"/><Relationship Id="rId39" Type="http://schemas.openxmlformats.org/officeDocument/2006/relationships/image" Target="media/image5.wmf"/><Relationship Id="rId21" Type="http://schemas.openxmlformats.org/officeDocument/2006/relationships/hyperlink" Target="mailto:mkafluk@vakmb.cz" TargetMode="External"/><Relationship Id="rId34" Type="http://schemas.openxmlformats.org/officeDocument/2006/relationships/footer" Target="footer6.xml"/><Relationship Id="rId42" Type="http://schemas.openxmlformats.org/officeDocument/2006/relationships/header" Target="header5.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omas.pecka@ksus.cz" TargetMode="External"/><Relationship Id="rId29" Type="http://schemas.openxmlformats.org/officeDocument/2006/relationships/footer" Target="footer3.xml"/><Relationship Id="rId11" Type="http://schemas.openxmlformats.org/officeDocument/2006/relationships/image" Target="media/image1.png"/><Relationship Id="rId24" Type="http://schemas.openxmlformats.org/officeDocument/2006/relationships/hyperlink" Target="mailto:ales.cermak@ksus.cz"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package" Target="embeddings/List_aplikace_Microsoft_Excel.xlsx"/><Relationship Id="rId5" Type="http://schemas.openxmlformats.org/officeDocument/2006/relationships/numbering" Target="numbering.xml"/><Relationship Id="rId15" Type="http://schemas.openxmlformats.org/officeDocument/2006/relationships/hyperlink" Target="mailto:lenka.chmelova@ksus.cz" TargetMode="External"/><Relationship Id="rId23" Type="http://schemas.openxmlformats.org/officeDocument/2006/relationships/hyperlink" Target="mailto:zdenek.dvorak@ksus.cz" TargetMode="External"/><Relationship Id="rId28" Type="http://schemas.openxmlformats.org/officeDocument/2006/relationships/image" Target="media/image2.png"/><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rel.sulek@ksus.cz" TargetMode="External"/><Relationship Id="rId31" Type="http://schemas.openxmlformats.org/officeDocument/2006/relationships/header" Target="header2.xml"/><Relationship Id="rId44"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kafluk@vakmb.cz" TargetMode="External"/><Relationship Id="rId22" Type="http://schemas.openxmlformats.org/officeDocument/2006/relationships/hyperlink" Target="mailto:petr.heinrich@ksus.cz"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smlouvy.gov.cz/" TargetMode="External"/><Relationship Id="rId43" Type="http://schemas.openxmlformats.org/officeDocument/2006/relationships/image" Target="media/image7.wmf"/><Relationship Id="rId48"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zdenek.dvorak@ksus.cz" TargetMode="External"/><Relationship Id="rId17" Type="http://schemas.openxmlformats.org/officeDocument/2006/relationships/hyperlink" Target="mailto:petra.bartonickova@ksus.cz"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image" Target="media/image4.wmf"/><Relationship Id="rId46" Type="http://schemas.openxmlformats.org/officeDocument/2006/relationships/image" Target="media/image9.wmf"/><Relationship Id="rId20" Type="http://schemas.openxmlformats.org/officeDocument/2006/relationships/hyperlink" Target="mailto:tzitny@vakmb.cz"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33533BCF-AA82-4921-9DF1-8EEAEA7B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16169</Words>
  <Characters>95402</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2021-06-30T06:15:00Z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