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C70C93" w:rsidRDefault="00C70C93" w:rsidP="003C6092">
                            <w:pPr>
                              <w:pStyle w:val="Default"/>
                              <w:rPr>
                                <w:sz w:val="18"/>
                                <w:szCs w:val="18"/>
                              </w:rPr>
                            </w:pPr>
                          </w:p>
                          <w:p w14:paraId="394DE099" w14:textId="77777777" w:rsidR="00C70C93" w:rsidRDefault="00C70C9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C70C93" w:rsidRDefault="00C70C93" w:rsidP="003C6092">
                      <w:pPr>
                        <w:pStyle w:val="Default"/>
                        <w:rPr>
                          <w:sz w:val="18"/>
                          <w:szCs w:val="18"/>
                        </w:rPr>
                      </w:pPr>
                    </w:p>
                    <w:p w14:paraId="394DE099" w14:textId="77777777" w:rsidR="00C70C93" w:rsidRDefault="00C70C93"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18632121"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0642A0">
        <w:rPr>
          <w:iCs/>
        </w:rPr>
        <w:t>Mgr. Zdeněk Dvořák, MPA, ředitel</w:t>
      </w:r>
    </w:p>
    <w:p w14:paraId="15AD454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68275DE3"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 prací „</w:t>
      </w:r>
      <w:r w:rsidR="00ED038A" w:rsidRPr="00ED038A">
        <w:rPr>
          <w:b/>
          <w:sz w:val="22"/>
          <w:szCs w:val="22"/>
        </w:rPr>
        <w:t>II/110 Sázava most ev.č. 110-008</w:t>
      </w:r>
      <w:r w:rsidRPr="00F04838">
        <w:rPr>
          <w:sz w:val="22"/>
          <w:szCs w:val="22"/>
        </w:rPr>
        <w:t>“, a to v následujícím rozsahu:</w:t>
      </w:r>
    </w:p>
    <w:p w14:paraId="4FA1B355" w14:textId="77777777" w:rsidR="00ED038A" w:rsidRPr="00ED038A" w:rsidRDefault="00ED038A" w:rsidP="00ED038A">
      <w:pPr>
        <w:pStyle w:val="Textodst2slovan"/>
        <w:numPr>
          <w:ilvl w:val="0"/>
          <w:numId w:val="0"/>
        </w:numPr>
        <w:ind w:left="992"/>
        <w:rPr>
          <w:sz w:val="22"/>
          <w:szCs w:val="22"/>
        </w:rPr>
      </w:pPr>
      <w:r w:rsidRPr="00ED038A">
        <w:rPr>
          <w:sz w:val="22"/>
          <w:szCs w:val="22"/>
        </w:rPr>
        <w:t>Předmětem veřejné zakázky je demolice stávajícího mostního objektu ev.č. 110-008, výstavba provizorního přemostění a výstavba mostu nového ev.č. 110-008. Jedná se o čtyřpolový most z předpjatých nosníků I73. Most je kolmý. Délka přemostění 106,7m. Nosníky jsou uloženy na ocelová ložiska. Opěry i pilíře jsou ze železového betonu a jsou pravděpodobně založeny plošně. Most nejeví známky sedání. Nosnou konstrukci tvoří devět nosníků I73. Stavební výška mostu je 1,45m. Délka nosné konstrukce je asi 108m.</w:t>
      </w:r>
    </w:p>
    <w:p w14:paraId="0969A151" w14:textId="77777777" w:rsidR="00ED038A" w:rsidRPr="00ED038A" w:rsidRDefault="00ED038A" w:rsidP="00ED038A">
      <w:pPr>
        <w:pStyle w:val="Textodst2slovan"/>
        <w:numPr>
          <w:ilvl w:val="0"/>
          <w:numId w:val="0"/>
        </w:numPr>
        <w:ind w:left="992"/>
        <w:rPr>
          <w:sz w:val="22"/>
          <w:szCs w:val="22"/>
        </w:rPr>
      </w:pPr>
    </w:p>
    <w:p w14:paraId="345E674F" w14:textId="27E5C1B7" w:rsidR="00ED038A" w:rsidRPr="00ED038A" w:rsidRDefault="00ED038A" w:rsidP="00ED038A">
      <w:pPr>
        <w:pStyle w:val="Textodst2slovan"/>
        <w:numPr>
          <w:ilvl w:val="0"/>
          <w:numId w:val="0"/>
        </w:numPr>
        <w:ind w:left="992"/>
        <w:rPr>
          <w:sz w:val="22"/>
          <w:szCs w:val="22"/>
        </w:rPr>
      </w:pPr>
      <w:r w:rsidRPr="00ED038A">
        <w:rPr>
          <w:sz w:val="22"/>
          <w:szCs w:val="22"/>
        </w:rPr>
        <w:t>Stavba se bude dotýkat řady inženýrských sítí. Bude nutn</w:t>
      </w:r>
      <w:r>
        <w:rPr>
          <w:sz w:val="22"/>
          <w:szCs w:val="22"/>
        </w:rPr>
        <w:t>o přeložit zejména trasy kabelů</w:t>
      </w:r>
      <w:r w:rsidRPr="00ED038A">
        <w:rPr>
          <w:sz w:val="22"/>
          <w:szCs w:val="22"/>
        </w:rPr>
        <w:t>ČEZ a sítě společnosti CETIN a.s., vodovodu a veřejného osvětlení. Tyto sítě budou nejprve provizorně přeloženy ze stávajícího mostu na provizorní přemostění Sázavy, které bude pro tento účel uzpůsobeno.</w:t>
      </w:r>
    </w:p>
    <w:p w14:paraId="24AE1519" w14:textId="77777777" w:rsidR="00ED038A" w:rsidRPr="00ED038A" w:rsidRDefault="00ED038A" w:rsidP="00ED038A">
      <w:pPr>
        <w:pStyle w:val="Textodst2slovan"/>
        <w:numPr>
          <w:ilvl w:val="0"/>
          <w:numId w:val="0"/>
        </w:numPr>
        <w:ind w:left="992"/>
        <w:rPr>
          <w:sz w:val="22"/>
          <w:szCs w:val="22"/>
        </w:rPr>
      </w:pPr>
    </w:p>
    <w:p w14:paraId="456C19ED" w14:textId="77777777" w:rsidR="00ED038A" w:rsidRPr="00ED038A" w:rsidRDefault="00ED038A" w:rsidP="00ED038A">
      <w:pPr>
        <w:pStyle w:val="Textodst2slovan"/>
        <w:numPr>
          <w:ilvl w:val="0"/>
          <w:numId w:val="0"/>
        </w:numPr>
        <w:ind w:left="992"/>
        <w:rPr>
          <w:sz w:val="22"/>
          <w:szCs w:val="22"/>
        </w:rPr>
      </w:pPr>
      <w:r w:rsidRPr="00ED038A">
        <w:rPr>
          <w:sz w:val="22"/>
          <w:szCs w:val="22"/>
        </w:rPr>
        <w:t>spodní stavba</w:t>
      </w:r>
    </w:p>
    <w:p w14:paraId="5F2B7BA0" w14:textId="77777777" w:rsidR="00ED038A" w:rsidRPr="00ED038A" w:rsidRDefault="00ED038A" w:rsidP="00ED038A">
      <w:pPr>
        <w:pStyle w:val="Textodst2slovan"/>
        <w:numPr>
          <w:ilvl w:val="0"/>
          <w:numId w:val="0"/>
        </w:numPr>
        <w:ind w:left="992"/>
        <w:rPr>
          <w:sz w:val="22"/>
          <w:szCs w:val="22"/>
        </w:rPr>
      </w:pPr>
      <w:r w:rsidRPr="00ED038A">
        <w:rPr>
          <w:sz w:val="22"/>
          <w:szCs w:val="22"/>
        </w:rPr>
        <w:t>Krajní opěry budou odbourány do úrovně úložných prahů. Ponechané dříky budou sanovány. Dřík opěry I bude obložen žulovým řádkovým zdivem do předepsané výšky. Na takto upravené dříky budou provedeny nové úložné prahy a navazující křídla. Křídla opěry I budou upraveny do tvaru rozjezdu křižovatky, křídla opěry V jsou rovnoběžná vetknutá. Pilíř II v korytě řeky bude založen plošně na skalním výchozu. Spodní část pilíře bude opět obložena žulovým řádkovým zdivem. Pilíře III a IV budou založeny na vrtaných pilotách.</w:t>
      </w:r>
    </w:p>
    <w:p w14:paraId="2232A3DC" w14:textId="77777777" w:rsidR="00ED038A" w:rsidRPr="00ED038A" w:rsidRDefault="00ED038A" w:rsidP="00ED038A">
      <w:pPr>
        <w:pStyle w:val="Textodst2slovan"/>
        <w:numPr>
          <w:ilvl w:val="0"/>
          <w:numId w:val="0"/>
        </w:numPr>
        <w:ind w:left="992"/>
        <w:rPr>
          <w:sz w:val="22"/>
          <w:szCs w:val="22"/>
        </w:rPr>
      </w:pPr>
    </w:p>
    <w:p w14:paraId="0BC4F6A2" w14:textId="77777777" w:rsidR="00ED038A" w:rsidRPr="00ED038A" w:rsidRDefault="00ED038A" w:rsidP="00ED038A">
      <w:pPr>
        <w:pStyle w:val="Textodst2slovan"/>
        <w:numPr>
          <w:ilvl w:val="0"/>
          <w:numId w:val="0"/>
        </w:numPr>
        <w:ind w:left="992"/>
        <w:rPr>
          <w:sz w:val="22"/>
          <w:szCs w:val="22"/>
        </w:rPr>
      </w:pPr>
      <w:r w:rsidRPr="00ED038A">
        <w:rPr>
          <w:sz w:val="22"/>
          <w:szCs w:val="22"/>
        </w:rPr>
        <w:t>nosná konstrukce</w:t>
      </w:r>
    </w:p>
    <w:p w14:paraId="1E3651D0" w14:textId="77777777" w:rsidR="00ED038A" w:rsidRPr="00ED038A" w:rsidRDefault="00ED038A" w:rsidP="00ED038A">
      <w:pPr>
        <w:pStyle w:val="Textodst2slovan"/>
        <w:numPr>
          <w:ilvl w:val="0"/>
          <w:numId w:val="0"/>
        </w:numPr>
        <w:ind w:left="992"/>
        <w:rPr>
          <w:sz w:val="22"/>
          <w:szCs w:val="22"/>
        </w:rPr>
      </w:pPr>
      <w:r w:rsidRPr="00ED038A">
        <w:rPr>
          <w:sz w:val="22"/>
          <w:szCs w:val="22"/>
        </w:rPr>
        <w:t>Nová nosná konstrukce je navržena jako spojitá, trámová z předpjatého betonu. V příčném směru je tvořena třemi trámy z monolitického, dodatečně předpjatého betonu C35/45 –XF2. Osová vzdálenost trámů je 3,125m a do stran jsou z nich vyloženy konzoly délky 2,625m. Celková šířka NK je 12,50 m, konstrukční výška v poli je 1,00 m. U pilířů II a IV se náběhem zvyšuje na 1,3m. Mostovka má střechovitý příčný sklon 2,5% s protispádem u chodníků. Na opěrách je trámová konstrukce spojena příčníky.</w:t>
      </w:r>
    </w:p>
    <w:p w14:paraId="24ED4B71" w14:textId="77777777" w:rsidR="00ED038A" w:rsidRPr="00ED038A" w:rsidRDefault="00ED038A" w:rsidP="00ED038A">
      <w:pPr>
        <w:pStyle w:val="Textodst2slovan"/>
        <w:numPr>
          <w:ilvl w:val="0"/>
          <w:numId w:val="0"/>
        </w:numPr>
        <w:ind w:left="992"/>
        <w:rPr>
          <w:sz w:val="22"/>
          <w:szCs w:val="22"/>
        </w:rPr>
      </w:pPr>
    </w:p>
    <w:p w14:paraId="3E73EE57" w14:textId="77777777" w:rsidR="00ED038A" w:rsidRPr="00ED038A" w:rsidRDefault="00ED038A" w:rsidP="00ED038A">
      <w:pPr>
        <w:pStyle w:val="Textodst2slovan"/>
        <w:numPr>
          <w:ilvl w:val="0"/>
          <w:numId w:val="0"/>
        </w:numPr>
        <w:ind w:left="992"/>
        <w:rPr>
          <w:sz w:val="22"/>
          <w:szCs w:val="22"/>
        </w:rPr>
      </w:pPr>
      <w:r w:rsidRPr="00ED038A">
        <w:rPr>
          <w:sz w:val="22"/>
          <w:szCs w:val="22"/>
        </w:rPr>
        <w:t>vybavení</w:t>
      </w:r>
    </w:p>
    <w:p w14:paraId="5E9C18D0" w14:textId="22C6372F" w:rsidR="003D2F59" w:rsidRDefault="00ED038A" w:rsidP="00ED038A">
      <w:pPr>
        <w:pStyle w:val="Textodst2slovan"/>
        <w:numPr>
          <w:ilvl w:val="0"/>
          <w:numId w:val="0"/>
        </w:numPr>
        <w:ind w:left="992"/>
        <w:rPr>
          <w:sz w:val="22"/>
          <w:szCs w:val="22"/>
        </w:rPr>
      </w:pPr>
      <w:r w:rsidRPr="00ED038A">
        <w:rPr>
          <w:sz w:val="22"/>
          <w:szCs w:val="22"/>
        </w:rPr>
        <w:t>Most bude převádět živičnou vozovku šířky 8,5m lemovanou chodníky šířky 2,0m. Kryt chodníků je navržen z litého asfaltu. Volná šířka na mostě je zachována 12,5m. Na mostě bude osazeno mostní zábradlí. Stavební výška nového mostu je 1,44m. Most bude osvětlen veřejným osvětlením. Most se nachází směrově v přímé a výškově ve vrcholovém oblouku, jehož tečny klesají směrem k opěrám. Odvodnění zůstává zachováno – mostní odvodňovače vyústěné pod most. Most je navržen na zatížení dle ČSN EN 1991-2 . Zatěžovací model LM 1 – skupina komunikací 1 a model LM 3.</w:t>
      </w:r>
    </w:p>
    <w:p w14:paraId="293FD6B3" w14:textId="77777777" w:rsidR="00ED038A" w:rsidRPr="003D2F59" w:rsidRDefault="00ED038A" w:rsidP="00ED038A">
      <w:pPr>
        <w:pStyle w:val="Textodst2slovan"/>
        <w:numPr>
          <w:ilvl w:val="0"/>
          <w:numId w:val="0"/>
        </w:numPr>
        <w:ind w:left="992"/>
        <w:rPr>
          <w:sz w:val="22"/>
          <w:szCs w:val="22"/>
        </w:rPr>
      </w:pPr>
    </w:p>
    <w:p w14:paraId="1633DC6E" w14:textId="77777777" w:rsidR="003D2F59" w:rsidRPr="00CC5935" w:rsidRDefault="003D2F59" w:rsidP="003D2F59">
      <w:pPr>
        <w:pStyle w:val="Textodst2slovan"/>
        <w:rPr>
          <w:sz w:val="22"/>
          <w:szCs w:val="22"/>
        </w:rPr>
      </w:pPr>
      <w:r w:rsidRPr="003D2F59">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3D2F59">
          <w:rPr>
            <w:rStyle w:val="Hypertextovodkaz"/>
            <w:sz w:val="22"/>
            <w:szCs w:val="22"/>
          </w:rPr>
          <w:t>www.pjpk.cz</w:t>
        </w:r>
      </w:hyperlink>
      <w:r w:rsidRPr="003D2F59">
        <w:rPr>
          <w:sz w:val="22"/>
          <w:szCs w:val="22"/>
        </w:rPr>
        <w:t xml:space="preserve">) a interních předpisů objednatele. Součástí realizační dokumentace stavby je oceněný srovnávací soupis prací - rozdílový rozpočet, který bude po dobu plnění Smlouvy zhotovitelem v návaznosti na změny </w:t>
      </w:r>
      <w:r w:rsidRPr="00CC5935">
        <w:rPr>
          <w:sz w:val="22"/>
          <w:szCs w:val="22"/>
        </w:rPr>
        <w:t>stavby dále aktualizován, a který je koncipován do konečného schválení jako odnímatelná příloha. Tento dokument nebude uveden v rozpisce – obsahu realizační dokumentace stavby. Realizační dokumentace bude objednateli předána</w:t>
      </w:r>
    </w:p>
    <w:p w14:paraId="17B78C4F" w14:textId="634ACBC3" w:rsidR="0038024A" w:rsidRPr="00CC5935" w:rsidRDefault="0038024A" w:rsidP="00DC3BF3">
      <w:pPr>
        <w:pStyle w:val="Textodst2slovan"/>
      </w:pPr>
    </w:p>
    <w:p w14:paraId="778E783B" w14:textId="77777777" w:rsidR="0038024A" w:rsidRPr="00CC5935" w:rsidRDefault="00DE5FAB">
      <w:pPr>
        <w:pStyle w:val="Textodst3psmena"/>
        <w:ind w:left="2552" w:hanging="284"/>
        <w:rPr>
          <w:sz w:val="22"/>
          <w:szCs w:val="22"/>
        </w:rPr>
      </w:pPr>
      <w:r w:rsidRPr="00CC5935">
        <w:rPr>
          <w:sz w:val="22"/>
          <w:szCs w:val="22"/>
        </w:rPr>
        <w:t xml:space="preserve">koncept </w:t>
      </w:r>
      <w:r w:rsidR="008A1ADE" w:rsidRPr="00CC5935">
        <w:rPr>
          <w:sz w:val="22"/>
          <w:szCs w:val="22"/>
        </w:rPr>
        <w:t xml:space="preserve">v tištěné podobě ve </w:t>
      </w:r>
      <w:r w:rsidR="00331A48" w:rsidRPr="00CC5935">
        <w:rPr>
          <w:sz w:val="22"/>
          <w:szCs w:val="22"/>
        </w:rPr>
        <w:t>3</w:t>
      </w:r>
      <w:r w:rsidR="008A1ADE" w:rsidRPr="00CC5935">
        <w:rPr>
          <w:sz w:val="22"/>
          <w:szCs w:val="22"/>
        </w:rPr>
        <w:t xml:space="preserve"> paré a 1x v </w:t>
      </w:r>
      <w:r w:rsidR="00D94CB7" w:rsidRPr="00CC5935">
        <w:rPr>
          <w:sz w:val="22"/>
          <w:szCs w:val="22"/>
        </w:rPr>
        <w:t>elektronické</w:t>
      </w:r>
      <w:r w:rsidR="008A1ADE" w:rsidRPr="00CC5935">
        <w:rPr>
          <w:sz w:val="22"/>
          <w:szCs w:val="22"/>
        </w:rPr>
        <w:t xml:space="preserve"> pod</w:t>
      </w:r>
      <w:r w:rsidR="00F44CE4" w:rsidRPr="00CC5935">
        <w:rPr>
          <w:sz w:val="22"/>
          <w:szCs w:val="22"/>
        </w:rPr>
        <w:t>obě (rozsah a </w:t>
      </w:r>
      <w:r w:rsidR="008A1ADE" w:rsidRPr="00CC5935">
        <w:rPr>
          <w:sz w:val="22"/>
          <w:szCs w:val="22"/>
        </w:rPr>
        <w:t>upořádání odpovídající podobě tištěné) v uzavřeném (PDF) a otevřeném formátu (DWG, XLS, DOC, apod.)</w:t>
      </w:r>
      <w:r w:rsidRPr="00CC5935">
        <w:rPr>
          <w:sz w:val="22"/>
          <w:szCs w:val="22"/>
        </w:rPr>
        <w:t>,</w:t>
      </w:r>
    </w:p>
    <w:p w14:paraId="2FA75EDA" w14:textId="77777777" w:rsidR="0038024A" w:rsidRPr="00CC5935" w:rsidRDefault="00DE5FAB">
      <w:pPr>
        <w:pStyle w:val="Textodst3psmena"/>
        <w:ind w:left="2552" w:hanging="284"/>
        <w:rPr>
          <w:sz w:val="22"/>
          <w:szCs w:val="22"/>
        </w:rPr>
      </w:pPr>
      <w:r w:rsidRPr="00CC5935">
        <w:rPr>
          <w:sz w:val="22"/>
          <w:szCs w:val="22"/>
        </w:rPr>
        <w:t xml:space="preserve">čistopis v tištěné podobě ve 3 paré a 1x </w:t>
      </w:r>
      <w:r w:rsidR="00F44CE4" w:rsidRPr="00CC5935">
        <w:rPr>
          <w:sz w:val="22"/>
          <w:szCs w:val="22"/>
        </w:rPr>
        <w:t>v elektronické podobě (rozsah a </w:t>
      </w:r>
      <w:r w:rsidRPr="00CC5935">
        <w:rPr>
          <w:sz w:val="22"/>
          <w:szCs w:val="22"/>
        </w:rPr>
        <w:t>upořádání odpovídající podobě tištěné) v uzavřeném (PDF) a otevřeném formátu (DWG, XLS, DOC, apod.)</w:t>
      </w:r>
      <w:r w:rsidR="00537F58" w:rsidRPr="00CC5935">
        <w:rPr>
          <w:sz w:val="22"/>
          <w:szCs w:val="22"/>
        </w:rPr>
        <w:t>“</w:t>
      </w:r>
      <w:r w:rsidR="008A1ADE" w:rsidRPr="00CC5935">
        <w:rPr>
          <w:sz w:val="22"/>
          <w:szCs w:val="22"/>
        </w:rPr>
        <w:t>]</w:t>
      </w:r>
    </w:p>
    <w:p w14:paraId="42EEAEEE" w14:textId="7890601B" w:rsidR="00DE5FAB" w:rsidRPr="00CC5935" w:rsidRDefault="0085192C" w:rsidP="00F962A7">
      <w:pPr>
        <w:pStyle w:val="Textodst2slovan"/>
        <w:tabs>
          <w:tab w:val="clear" w:pos="360"/>
          <w:tab w:val="num" w:pos="-6237"/>
        </w:tabs>
        <w:ind w:left="1985" w:hanging="851"/>
        <w:rPr>
          <w:sz w:val="22"/>
          <w:szCs w:val="22"/>
        </w:rPr>
      </w:pPr>
      <w:r w:rsidRPr="00CC5935">
        <w:rPr>
          <w:sz w:val="22"/>
          <w:szCs w:val="22"/>
        </w:rPr>
        <w:t xml:space="preserve"> </w:t>
      </w:r>
      <w:r w:rsidR="003D2F59" w:rsidRPr="00CC5935">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003D2F59" w:rsidRPr="00CC5935">
          <w:rPr>
            <w:rStyle w:val="Hypertextovodkaz"/>
            <w:szCs w:val="22"/>
          </w:rPr>
          <w:t>www.pjpk.cz</w:t>
        </w:r>
      </w:hyperlink>
      <w:r w:rsidR="003D2F59" w:rsidRPr="00CC5935">
        <w:rPr>
          <w:sz w:val="22"/>
          <w:szCs w:val="22"/>
        </w:rPr>
        <w:t>).</w:t>
      </w:r>
      <w:r w:rsidR="00B93550" w:rsidRPr="00CC5935">
        <w:rPr>
          <w:sz w:val="22"/>
          <w:szCs w:val="22"/>
        </w:rPr>
        <w:t>).</w:t>
      </w:r>
      <w:r w:rsidRPr="00CC5935">
        <w:rPr>
          <w:sz w:val="22"/>
          <w:szCs w:val="22"/>
        </w:rPr>
        <w:t xml:space="preserve"> </w:t>
      </w:r>
      <w:r w:rsidR="00DE5FAB" w:rsidRPr="00CC5935">
        <w:rPr>
          <w:sz w:val="22"/>
          <w:szCs w:val="22"/>
        </w:rPr>
        <w:t>Dokumentace skutečného provedení stavby bude Objednateli předána:</w:t>
      </w:r>
    </w:p>
    <w:p w14:paraId="59B9C337" w14:textId="77777777" w:rsidR="0038024A" w:rsidRPr="00CC5935" w:rsidRDefault="00DE5FAB">
      <w:pPr>
        <w:pStyle w:val="Textodst3psmena"/>
        <w:ind w:left="2552" w:hanging="284"/>
        <w:rPr>
          <w:sz w:val="22"/>
          <w:szCs w:val="22"/>
        </w:rPr>
      </w:pPr>
      <w:r w:rsidRPr="00CC5935">
        <w:rPr>
          <w:sz w:val="22"/>
          <w:szCs w:val="22"/>
        </w:rPr>
        <w:t>koncept v</w:t>
      </w:r>
      <w:r w:rsidR="0085192C" w:rsidRPr="00CC5935">
        <w:rPr>
          <w:sz w:val="22"/>
          <w:szCs w:val="22"/>
        </w:rPr>
        <w:t xml:space="preserve"> </w:t>
      </w:r>
      <w:r w:rsidR="00F962A7" w:rsidRPr="00CC5935">
        <w:rPr>
          <w:sz w:val="22"/>
          <w:szCs w:val="22"/>
        </w:rPr>
        <w:t>tištěné</w:t>
      </w:r>
      <w:r w:rsidR="0085192C" w:rsidRPr="00CC5935">
        <w:rPr>
          <w:sz w:val="22"/>
          <w:szCs w:val="22"/>
        </w:rPr>
        <w:t xml:space="preserve"> podobě ve </w:t>
      </w:r>
      <w:r w:rsidR="00331A48" w:rsidRPr="00CC5935">
        <w:rPr>
          <w:sz w:val="22"/>
          <w:szCs w:val="22"/>
        </w:rPr>
        <w:t>3</w:t>
      </w:r>
      <w:r w:rsidR="0085192C" w:rsidRPr="00CC5935">
        <w:rPr>
          <w:sz w:val="22"/>
          <w:szCs w:val="22"/>
        </w:rPr>
        <w:t xml:space="preserve"> paré a </w:t>
      </w:r>
      <w:r w:rsidR="00F962A7" w:rsidRPr="00CC5935">
        <w:rPr>
          <w:sz w:val="22"/>
          <w:szCs w:val="22"/>
        </w:rPr>
        <w:t>1x</w:t>
      </w:r>
      <w:r w:rsidR="0085192C" w:rsidRPr="00CC5935">
        <w:rPr>
          <w:sz w:val="22"/>
          <w:szCs w:val="22"/>
        </w:rPr>
        <w:t xml:space="preserve"> </w:t>
      </w:r>
      <w:r w:rsidR="00F962A7" w:rsidRPr="00CC5935">
        <w:rPr>
          <w:sz w:val="22"/>
          <w:szCs w:val="22"/>
        </w:rPr>
        <w:t>v elektronické</w:t>
      </w:r>
      <w:r w:rsidR="00F44CE4" w:rsidRPr="00CC5935">
        <w:rPr>
          <w:sz w:val="22"/>
          <w:szCs w:val="22"/>
        </w:rPr>
        <w:t xml:space="preserve"> podobě (rozsah a </w:t>
      </w:r>
      <w:r w:rsidR="0085192C" w:rsidRPr="00CC5935">
        <w:rPr>
          <w:sz w:val="22"/>
          <w:szCs w:val="22"/>
        </w:rPr>
        <w:t>uspořádání odpovídající podo</w:t>
      </w:r>
      <w:r w:rsidR="00F44CE4" w:rsidRPr="00CC5935">
        <w:rPr>
          <w:sz w:val="22"/>
          <w:szCs w:val="22"/>
        </w:rPr>
        <w:t>bě tištěné) v uzavřeném (PDF) a </w:t>
      </w:r>
      <w:r w:rsidR="0085192C" w:rsidRPr="00CC5935">
        <w:rPr>
          <w:sz w:val="22"/>
          <w:szCs w:val="22"/>
        </w:rPr>
        <w:t>otevřeném formátu (DWG, XLS, DOC, apod.)</w:t>
      </w:r>
      <w:r w:rsidRPr="00CC5935">
        <w:rPr>
          <w:sz w:val="22"/>
          <w:szCs w:val="22"/>
        </w:rPr>
        <w:t>,</w:t>
      </w:r>
    </w:p>
    <w:p w14:paraId="4682FE41" w14:textId="2F4D8703" w:rsidR="0038024A" w:rsidRPr="00CC5935" w:rsidRDefault="00DE5FAB">
      <w:pPr>
        <w:pStyle w:val="Textodst3psmena"/>
        <w:ind w:left="2552" w:hanging="284"/>
        <w:rPr>
          <w:sz w:val="22"/>
          <w:szCs w:val="22"/>
        </w:rPr>
      </w:pPr>
      <w:r w:rsidRPr="00CC5935">
        <w:rPr>
          <w:sz w:val="22"/>
          <w:szCs w:val="22"/>
        </w:rPr>
        <w:t xml:space="preserve">čistopis v tištěné podobě ve 3 paré a 1x </w:t>
      </w:r>
      <w:r w:rsidR="00F44CE4" w:rsidRPr="00CC5935">
        <w:rPr>
          <w:sz w:val="22"/>
          <w:szCs w:val="22"/>
        </w:rPr>
        <w:t>v elektronické podobě (rozsah a </w:t>
      </w:r>
      <w:r w:rsidRPr="00CC5935">
        <w:rPr>
          <w:sz w:val="22"/>
          <w:szCs w:val="22"/>
        </w:rPr>
        <w:t>uspořádání odpovídající podobě ti</w:t>
      </w:r>
      <w:r w:rsidR="00F44CE4" w:rsidRPr="00CC5935">
        <w:rPr>
          <w:sz w:val="22"/>
          <w:szCs w:val="22"/>
        </w:rPr>
        <w:t>štěné) v uzavřeném (PDF) a </w:t>
      </w:r>
      <w:r w:rsidRPr="00CC5935">
        <w:rPr>
          <w:sz w:val="22"/>
          <w:szCs w:val="22"/>
        </w:rPr>
        <w:t>otevřeném formátu (DWG, XLS, DOC, apod.)</w:t>
      </w:r>
      <w:r w:rsidR="003C6092" w:rsidRPr="00CC5935">
        <w:rPr>
          <w:sz w:val="22"/>
          <w:szCs w:val="22"/>
        </w:rPr>
        <w:t>.</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A2575E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w:t>
      </w:r>
      <w:r w:rsidR="00A03ACE">
        <w:rPr>
          <w:sz w:val="22"/>
          <w:szCs w:val="22"/>
        </w:rPr>
        <w:t xml:space="preserve"> 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w:t>
      </w:r>
      <w:r w:rsidRPr="0013654C">
        <w:rPr>
          <w:sz w:val="22"/>
          <w:szCs w:val="22"/>
        </w:rPr>
        <w:lastRenderedPageBreak/>
        <w:t xml:space="preserve">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17A0030E" w14:textId="77777777" w:rsidR="003C6092" w:rsidRPr="00CC5935" w:rsidRDefault="0038024A" w:rsidP="008D6ED8">
      <w:pPr>
        <w:pStyle w:val="Textodst1sl"/>
        <w:numPr>
          <w:ilvl w:val="1"/>
          <w:numId w:val="6"/>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Objednateli </w:t>
      </w:r>
      <w:r w:rsidRPr="00CC5935">
        <w:rPr>
          <w:sz w:val="22"/>
          <w:szCs w:val="22"/>
        </w:rPr>
        <w:t>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CC5935" w:rsidRDefault="0038024A" w:rsidP="003C6092">
      <w:pPr>
        <w:pStyle w:val="Textodst1sl"/>
        <w:rPr>
          <w:sz w:val="22"/>
          <w:szCs w:val="22"/>
        </w:rPr>
      </w:pPr>
      <w:r w:rsidRPr="00CC5935">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CC5935">
        <w:rPr>
          <w:sz w:val="22"/>
          <w:szCs w:val="22"/>
        </w:rPr>
        <w:t>SD</w:t>
      </w:r>
      <w:r w:rsidRPr="00CC5935">
        <w:rPr>
          <w:sz w:val="22"/>
          <w:szCs w:val="22"/>
        </w:rPr>
        <w:t xml:space="preserve"> nebo osobou vykonávající autorský dozor projektanta. </w:t>
      </w:r>
    </w:p>
    <w:p w14:paraId="4A57B51A" w14:textId="77777777" w:rsidR="003C6092" w:rsidRPr="00CC5935" w:rsidRDefault="0038024A" w:rsidP="003C6092">
      <w:pPr>
        <w:pStyle w:val="Textodst1sl"/>
        <w:rPr>
          <w:sz w:val="22"/>
          <w:szCs w:val="22"/>
        </w:rPr>
      </w:pPr>
      <w:r w:rsidRPr="00CC5935">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13969166" w:rsidR="00823BCB" w:rsidRPr="00CC5935" w:rsidRDefault="00F11BD1" w:rsidP="008D6ED8">
      <w:pPr>
        <w:pStyle w:val="Textodst1sl"/>
        <w:numPr>
          <w:ilvl w:val="1"/>
          <w:numId w:val="16"/>
        </w:numPr>
        <w:rPr>
          <w:sz w:val="22"/>
          <w:szCs w:val="22"/>
        </w:rPr>
      </w:pPr>
      <w:r w:rsidRPr="0038024A">
        <w:rPr>
          <w:bCs/>
          <w:sz w:val="22"/>
          <w:szCs w:val="22"/>
        </w:rPr>
        <w:t xml:space="preserve">Zhotovitel je povinen </w:t>
      </w:r>
      <w:r w:rsidRPr="00CC5935">
        <w:rPr>
          <w:bCs/>
          <w:sz w:val="22"/>
          <w:szCs w:val="22"/>
        </w:rPr>
        <w:t xml:space="preserve">zahájit stavební práce do </w:t>
      </w:r>
      <w:r w:rsidRPr="00CC5935">
        <w:rPr>
          <w:sz w:val="22"/>
          <w:szCs w:val="22"/>
        </w:rPr>
        <w:t xml:space="preserve">10 dnů od převzetí Staveniště a </w:t>
      </w:r>
      <w:r w:rsidRPr="00CC5935">
        <w:rPr>
          <w:bCs/>
          <w:sz w:val="22"/>
          <w:szCs w:val="22"/>
        </w:rPr>
        <w:t>Dílo</w:t>
      </w:r>
      <w:r w:rsidR="002B3EAB" w:rsidRPr="00CC5935">
        <w:rPr>
          <w:bCs/>
          <w:sz w:val="22"/>
          <w:szCs w:val="22"/>
        </w:rPr>
        <w:t xml:space="preserve"> dokončit a předat Objednateli </w:t>
      </w:r>
      <w:r w:rsidR="00CC5935" w:rsidRPr="00CC5935">
        <w:rPr>
          <w:b/>
          <w:bCs/>
          <w:sz w:val="22"/>
          <w:szCs w:val="22"/>
        </w:rPr>
        <w:t xml:space="preserve">do </w:t>
      </w:r>
      <w:r w:rsidR="00ED038A">
        <w:rPr>
          <w:b/>
          <w:bCs/>
          <w:sz w:val="22"/>
          <w:szCs w:val="22"/>
        </w:rPr>
        <w:t>2</w:t>
      </w:r>
      <w:r w:rsidR="00CC5935" w:rsidRPr="00CC5935">
        <w:rPr>
          <w:b/>
          <w:bCs/>
          <w:sz w:val="22"/>
          <w:szCs w:val="22"/>
        </w:rPr>
        <w:t>4</w:t>
      </w:r>
      <w:r w:rsidR="002B3EAB" w:rsidRPr="00CC5935">
        <w:rPr>
          <w:b/>
          <w:bCs/>
          <w:sz w:val="22"/>
          <w:szCs w:val="22"/>
        </w:rPr>
        <w:t xml:space="preserve"> měsíců</w:t>
      </w:r>
      <w:r w:rsidR="002B3EAB" w:rsidRPr="00CC5935">
        <w:rPr>
          <w:bCs/>
          <w:sz w:val="22"/>
          <w:szCs w:val="22"/>
        </w:rPr>
        <w:t xml:space="preserve"> od předání Staveniště Zhotoviteli.</w:t>
      </w:r>
    </w:p>
    <w:p w14:paraId="4FCA8974" w14:textId="492215C8" w:rsidR="00F441E7" w:rsidRPr="00F441E7" w:rsidRDefault="00823BCB" w:rsidP="008D6ED8">
      <w:pPr>
        <w:pStyle w:val="Textodst1sl"/>
        <w:numPr>
          <w:ilvl w:val="1"/>
          <w:numId w:val="16"/>
        </w:numPr>
        <w:rPr>
          <w:sz w:val="22"/>
          <w:szCs w:val="22"/>
        </w:rPr>
      </w:pPr>
      <w:r w:rsidRPr="00CC5935">
        <w:rPr>
          <w:bCs/>
          <w:sz w:val="22"/>
          <w:szCs w:val="22"/>
        </w:rPr>
        <w:t xml:space="preserve">Objednatel vyzve Zhotovitele k převzetí Staveniště </w:t>
      </w:r>
      <w:r w:rsidR="00563CBA" w:rsidRPr="00CC5935">
        <w:rPr>
          <w:bCs/>
          <w:sz w:val="22"/>
          <w:szCs w:val="22"/>
        </w:rPr>
        <w:t>v průběhu stavební sezony 2020</w:t>
      </w:r>
      <w:r w:rsidRPr="00CC5935">
        <w:rPr>
          <w:bCs/>
          <w:sz w:val="22"/>
          <w:szCs w:val="22"/>
        </w:rPr>
        <w:t>. V případě, že tato Smlouva nabude účinnosti v období zimní přestávky dle odst. 4.</w:t>
      </w:r>
      <w:r w:rsidR="00A03ACE" w:rsidRPr="00CC5935">
        <w:rPr>
          <w:bCs/>
          <w:sz w:val="22"/>
          <w:szCs w:val="22"/>
        </w:rPr>
        <w:t>3</w:t>
      </w:r>
      <w:r w:rsidRPr="00CC5935">
        <w:rPr>
          <w:bCs/>
          <w:sz w:val="22"/>
          <w:szCs w:val="22"/>
        </w:rPr>
        <w:t>. této Smlouvy, vyzve Objednatel Zhotovitele k převzetí Staveniště</w:t>
      </w:r>
      <w:r>
        <w:rPr>
          <w:bCs/>
          <w:sz w:val="22"/>
          <w:szCs w:val="22"/>
        </w:rPr>
        <w:t xml:space="preserve"> do 1 měsíce od konce zimní přestávky dle odst. 4.</w:t>
      </w:r>
      <w:r w:rsidR="00A03ACE">
        <w:rPr>
          <w:bCs/>
          <w:sz w:val="22"/>
          <w:szCs w:val="22"/>
        </w:rPr>
        <w:t>3</w:t>
      </w:r>
      <w:r>
        <w:rPr>
          <w:bCs/>
          <w:sz w:val="22"/>
          <w:szCs w:val="22"/>
        </w:rPr>
        <w:t>. této Smlouvy</w:t>
      </w:r>
      <w:r w:rsidR="002B3EAB">
        <w:rPr>
          <w:bCs/>
          <w:sz w:val="22"/>
          <w:szCs w:val="22"/>
        </w:rPr>
        <w:t xml:space="preserve"> </w:t>
      </w:r>
    </w:p>
    <w:p w14:paraId="28081211" w14:textId="130B199D" w:rsidR="00F441E7" w:rsidRDefault="00F441E7" w:rsidP="00F441E7">
      <w:pPr>
        <w:pStyle w:val="Textodst1sl"/>
        <w:numPr>
          <w:ilvl w:val="1"/>
          <w:numId w:val="16"/>
        </w:numPr>
        <w:rPr>
          <w:sz w:val="22"/>
          <w:szCs w:val="22"/>
        </w:rPr>
      </w:pPr>
      <w:r w:rsidRPr="00F441E7">
        <w:rPr>
          <w:sz w:val="22"/>
          <w:szCs w:val="22"/>
        </w:rPr>
        <w:lastRenderedPageBreak/>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4E0F2900"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w:t>
      </w:r>
      <w:r w:rsidRPr="00CC5935">
        <w:rPr>
          <w:sz w:val="22"/>
          <w:szCs w:val="22"/>
        </w:rPr>
        <w:t>při realizaci přejímacích zkoušek (pokud jsou Smlouvou vyžadovány), a to po dobu delší 10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Pr="00CC5935"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w:t>
      </w:r>
      <w:r w:rsidRPr="00CC5935">
        <w:rPr>
          <w:sz w:val="22"/>
          <w:szCs w:val="22"/>
        </w:rPr>
        <w:t>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sidRPr="00CC5935">
        <w:rPr>
          <w:sz w:val="22"/>
          <w:szCs w:val="22"/>
        </w:rPr>
        <w:t>y</w:t>
      </w:r>
      <w:r w:rsidRPr="00CC5935">
        <w:rPr>
          <w:sz w:val="22"/>
          <w:szCs w:val="22"/>
        </w:rPr>
        <w:t xml:space="preserve"> uvedené v Příloze č. </w:t>
      </w:r>
      <w:r w:rsidR="00B527B0" w:rsidRPr="00CC5935">
        <w:rPr>
          <w:sz w:val="22"/>
          <w:szCs w:val="22"/>
        </w:rPr>
        <w:t>2</w:t>
      </w:r>
      <w:r w:rsidRPr="00CC5935">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CC5935">
        <w:rPr>
          <w:sz w:val="22"/>
          <w:szCs w:val="22"/>
        </w:rPr>
        <w:t>podd</w:t>
      </w:r>
      <w:r w:rsidRPr="00CC5935">
        <w:rPr>
          <w:sz w:val="22"/>
          <w:szCs w:val="22"/>
        </w:rPr>
        <w:t>odavatelé. Zhotovitel se zavazuje zajistit a monitorovat, že s těmito odpady bude nakládáno v souladu s platnými právními předpisy.</w:t>
      </w:r>
      <w:r w:rsidRPr="00CC5935">
        <w:rPr>
          <w:sz w:val="22"/>
          <w:szCs w:val="22"/>
        </w:rPr>
        <w:tab/>
      </w:r>
    </w:p>
    <w:p w14:paraId="2503169B" w14:textId="77777777" w:rsidR="00E03D24" w:rsidRPr="00CC5935" w:rsidRDefault="00E03D24" w:rsidP="001C005D">
      <w:pPr>
        <w:pStyle w:val="Textodst1sl"/>
        <w:rPr>
          <w:sz w:val="22"/>
          <w:szCs w:val="22"/>
        </w:rPr>
      </w:pPr>
      <w:r w:rsidRPr="00CC5935">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CC5935">
        <w:rPr>
          <w:sz w:val="22"/>
          <w:szCs w:val="22"/>
        </w:rPr>
        <w:tab/>
      </w:r>
    </w:p>
    <w:p w14:paraId="02870CAF" w14:textId="77777777" w:rsidR="00E03D24" w:rsidRPr="00CC5935" w:rsidRDefault="00E03D24" w:rsidP="00E03D24">
      <w:pPr>
        <w:pStyle w:val="Textodst1sl"/>
        <w:rPr>
          <w:sz w:val="22"/>
          <w:szCs w:val="22"/>
        </w:rPr>
      </w:pPr>
      <w:r w:rsidRPr="00CC5935">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11FE426C" w14:textId="4376C379" w:rsidR="00E03D24" w:rsidRPr="00CC5935" w:rsidRDefault="00E03D24" w:rsidP="00E03D24">
      <w:pPr>
        <w:pStyle w:val="Textodst1sl"/>
        <w:rPr>
          <w:sz w:val="22"/>
          <w:szCs w:val="22"/>
        </w:rPr>
      </w:pPr>
      <w:r w:rsidRPr="00CC5935">
        <w:rPr>
          <w:sz w:val="22"/>
          <w:szCs w:val="22"/>
        </w:rPr>
        <w:t>Objednatel do 10 pracovních dnů po předložení konceptu realizační dokumentace stavby vznese připomínky k předložené dokumentaci, u kterých Zhotovitel zajistí do 5 dnů jejich zapracování a odevzdání č</w:t>
      </w:r>
      <w:r w:rsidR="00CC5935" w:rsidRPr="00CC5935">
        <w:rPr>
          <w:sz w:val="22"/>
          <w:szCs w:val="22"/>
        </w:rPr>
        <w:t>istopisu.</w:t>
      </w:r>
    </w:p>
    <w:p w14:paraId="54C5FCC2" w14:textId="77777777" w:rsidR="00E03D24" w:rsidRPr="00CC5935" w:rsidRDefault="00E03D24" w:rsidP="00E03D24">
      <w:pPr>
        <w:pStyle w:val="Textodst1sl"/>
        <w:rPr>
          <w:sz w:val="22"/>
          <w:szCs w:val="22"/>
        </w:rPr>
      </w:pPr>
      <w:r w:rsidRPr="00CC5935">
        <w:rPr>
          <w:sz w:val="22"/>
          <w:szCs w:val="22"/>
        </w:rPr>
        <w:t xml:space="preserve">Do termínu předání a převzetí stavby Objednatelem je Zhotovitel povinen předložit Objednateli k odsouhlasení koncept dokumentace skutečného provedení stavby. </w:t>
      </w:r>
    </w:p>
    <w:p w14:paraId="4A7E8F2B" w14:textId="650A7B2F" w:rsidR="00E03D24" w:rsidRPr="00CC5935" w:rsidRDefault="00E03D24" w:rsidP="00E03D24">
      <w:pPr>
        <w:pStyle w:val="Textodst1sl"/>
        <w:rPr>
          <w:sz w:val="22"/>
          <w:szCs w:val="22"/>
        </w:rPr>
      </w:pPr>
      <w:r w:rsidRPr="00CC5935">
        <w:rPr>
          <w:sz w:val="22"/>
          <w:szCs w:val="22"/>
        </w:rPr>
        <w:lastRenderedPageBreak/>
        <w:t>Objednatel do 10 pracovních dnů po předložení konceptu dokumentace skutečného provedení stavby vznese připomínky k předložené dokumentaci, u kterých Zhotovitel zajistí do 5 dnů jejich zapr</w:t>
      </w:r>
      <w:r w:rsidR="00CC5935" w:rsidRPr="00CC5935">
        <w:rPr>
          <w:sz w:val="22"/>
          <w:szCs w:val="22"/>
        </w:rPr>
        <w:t>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 xml:space="preserve">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w:t>
      </w:r>
      <w:r w:rsidRPr="00DF1D39">
        <w:rPr>
          <w:sz w:val="22"/>
          <w:szCs w:val="22"/>
        </w:rPr>
        <w:lastRenderedPageBreak/>
        <w:t>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CC5935"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w:t>
      </w:r>
      <w:r w:rsidRPr="00CC5935">
        <w:rPr>
          <w:sz w:val="22"/>
          <w:szCs w:val="22"/>
        </w:rPr>
        <w:t>lhůta v případě práva na náhradu škody či jiné újmy způsobené Zhotovitelem v souvislosti s plněním této Smlouvy trvá 5 let.</w:t>
      </w:r>
    </w:p>
    <w:p w14:paraId="1D40ECEA" w14:textId="77777777" w:rsidR="00F30305" w:rsidRPr="00CC5935" w:rsidRDefault="00F30305" w:rsidP="00F30305">
      <w:pPr>
        <w:pStyle w:val="Textodst1sl"/>
        <w:rPr>
          <w:sz w:val="22"/>
          <w:szCs w:val="22"/>
        </w:rPr>
      </w:pPr>
      <w:r w:rsidRPr="00CC5935">
        <w:rPr>
          <w:sz w:val="22"/>
          <w:szCs w:val="22"/>
        </w:rPr>
        <w:t xml:space="preserve">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w:t>
      </w:r>
      <w:r w:rsidRPr="00CC5935">
        <w:rPr>
          <w:sz w:val="22"/>
          <w:szCs w:val="22"/>
        </w:rPr>
        <w:lastRenderedPageBreak/>
        <w:t>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CC5935" w:rsidRDefault="00F30305" w:rsidP="00F30305">
      <w:pPr>
        <w:pStyle w:val="Textodst1sl"/>
        <w:rPr>
          <w:sz w:val="22"/>
          <w:szCs w:val="22"/>
        </w:rPr>
      </w:pPr>
      <w:r w:rsidRPr="00CC5935">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36A4D2B2"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 xml:space="preserve">ředitele Objednatele ke </w:t>
      </w:r>
      <w:r w:rsidR="00E40D5E">
        <w:rPr>
          <w:sz w:val="22"/>
          <w:szCs w:val="22"/>
        </w:rPr>
        <w:lastRenderedPageBreak/>
        <w:t>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4E0C11D0" w14:textId="34D42F5F" w:rsidR="008A54C6" w:rsidRPr="00CC5935" w:rsidRDefault="00F402D1" w:rsidP="00C81FCE">
      <w:pPr>
        <w:pStyle w:val="Textodst1sl"/>
        <w:rPr>
          <w:sz w:val="22"/>
          <w:szCs w:val="22"/>
        </w:rPr>
      </w:pPr>
      <w:r w:rsidRPr="00CC5935">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0B909C0A" w:rsidR="00D715B5" w:rsidRPr="00CC5935" w:rsidRDefault="00047331" w:rsidP="008D6ED8">
      <w:pPr>
        <w:pStyle w:val="Textodst1sl"/>
        <w:numPr>
          <w:ilvl w:val="0"/>
          <w:numId w:val="21"/>
        </w:numPr>
        <w:ind w:left="1843"/>
        <w:rPr>
          <w:sz w:val="22"/>
          <w:szCs w:val="22"/>
        </w:rPr>
      </w:pPr>
      <w:r w:rsidRPr="00CC5935">
        <w:rPr>
          <w:b/>
          <w:sz w:val="22"/>
          <w:szCs w:val="22"/>
        </w:rPr>
        <w:t>měření</w:t>
      </w:r>
      <w:r w:rsidRPr="00CC5935">
        <w:rPr>
          <w:sz w:val="22"/>
          <w:szCs w:val="22"/>
        </w:rPr>
        <w:t xml:space="preserve"> skutečně provedeného množství plnění, kdy budou uhrazeny pouze skutečně provedené změřené práce.  Položkami, které mohou být měřeny dle skutečně provedených prací, jsou všechny položky v soupisu prací, které nejskou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D715B5" w:rsidRPr="00CC5935">
        <w:rPr>
          <w:sz w:val="22"/>
          <w:szCs w:val="22"/>
        </w:rPr>
        <w:t>,</w:t>
      </w:r>
    </w:p>
    <w:p w14:paraId="62CFE03A" w14:textId="67C49160" w:rsidR="008A54C6" w:rsidRDefault="00D715B5" w:rsidP="008D6ED8">
      <w:pPr>
        <w:pStyle w:val="Textodst1sl"/>
        <w:numPr>
          <w:ilvl w:val="0"/>
          <w:numId w:val="21"/>
        </w:numPr>
        <w:ind w:left="1843"/>
        <w:rPr>
          <w:sz w:val="22"/>
          <w:szCs w:val="22"/>
        </w:rPr>
      </w:pPr>
      <w:r w:rsidRPr="00CC5935">
        <w:rPr>
          <w:sz w:val="22"/>
          <w:szCs w:val="22"/>
        </w:rPr>
        <w:t>prodloužení termínů plnění Díla v případech uv</w:t>
      </w:r>
      <w:r w:rsidR="00CC5935">
        <w:rPr>
          <w:sz w:val="22"/>
          <w:szCs w:val="22"/>
        </w:rPr>
        <w:t>edených v čl. 4.2. této Smlouvy</w:t>
      </w:r>
    </w:p>
    <w:p w14:paraId="7B09FF84" w14:textId="77777777" w:rsidR="00CC5935" w:rsidRPr="00CC5935" w:rsidRDefault="00CC5935" w:rsidP="00CC5935">
      <w:pPr>
        <w:pStyle w:val="Textodst1sl"/>
        <w:numPr>
          <w:ilvl w:val="0"/>
          <w:numId w:val="0"/>
        </w:numPr>
        <w:ind w:left="1843"/>
        <w:rPr>
          <w:sz w:val="22"/>
          <w:szCs w:val="22"/>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 xml:space="preserve">K předání a </w:t>
      </w:r>
      <w:r w:rsidR="00AA2657" w:rsidRPr="00C81FCE">
        <w:rPr>
          <w:sz w:val="22"/>
          <w:szCs w:val="22"/>
        </w:rPr>
        <w:lastRenderedPageBreak/>
        <w:t>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w:t>
      </w:r>
      <w:r w:rsidRPr="00F30305">
        <w:rPr>
          <w:sz w:val="22"/>
          <w:szCs w:val="22"/>
        </w:rPr>
        <w:lastRenderedPageBreak/>
        <w:t xml:space="preserve">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5A3E4120"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50ABA7FC" w:rsidR="00F30305" w:rsidRPr="00DD620F" w:rsidRDefault="00F30305" w:rsidP="00CC5935">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32F02C00" w:rsidR="00F30305" w:rsidRPr="00DD620F" w:rsidRDefault="00F30305" w:rsidP="00CC593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242FFF19"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p>
    <w:p w14:paraId="3F31A348" w14:textId="77777777" w:rsidR="00093524" w:rsidRDefault="00093524" w:rsidP="00093524">
      <w:pPr>
        <w:pStyle w:val="Textodst1sl"/>
        <w:numPr>
          <w:ilvl w:val="0"/>
          <w:numId w:val="0"/>
        </w:numPr>
        <w:ind w:left="1416"/>
        <w:rPr>
          <w:sz w:val="22"/>
          <w:szCs w:val="22"/>
        </w:rPr>
      </w:pPr>
      <w:r>
        <w:rPr>
          <w:sz w:val="22"/>
          <w:szCs w:val="22"/>
        </w:rPr>
        <w:lastRenderedPageBreak/>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0EAC4D83" w14:textId="77777777" w:rsidR="00093524" w:rsidRDefault="00093524" w:rsidP="00F30305">
      <w:pPr>
        <w:pStyle w:val="Textodst1sl"/>
        <w:numPr>
          <w:ilvl w:val="0"/>
          <w:numId w:val="0"/>
        </w:numPr>
        <w:ind w:left="1416"/>
        <w:rPr>
          <w:sz w:val="22"/>
          <w:szCs w:val="22"/>
        </w:rPr>
      </w:pP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CC5935" w:rsidRDefault="0038024A" w:rsidP="003C6092">
      <w:pPr>
        <w:pStyle w:val="Nzevlnku"/>
        <w:spacing w:before="80"/>
        <w:rPr>
          <w:sz w:val="22"/>
          <w:szCs w:val="22"/>
        </w:rPr>
      </w:pPr>
      <w:r w:rsidRPr="00CC5935">
        <w:rPr>
          <w:sz w:val="22"/>
          <w:szCs w:val="22"/>
        </w:rPr>
        <w:t>Platební podmínky</w:t>
      </w:r>
    </w:p>
    <w:p w14:paraId="2A2B04B4" w14:textId="1C1B20C1" w:rsidR="00CC2A79" w:rsidRPr="00CC5935" w:rsidRDefault="00CC2A79" w:rsidP="00CC2A79">
      <w:pPr>
        <w:pStyle w:val="Textodst1sl"/>
        <w:rPr>
          <w:sz w:val="22"/>
          <w:szCs w:val="22"/>
        </w:rPr>
      </w:pPr>
      <w:r w:rsidRPr="00CC5935">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85B2514" w14:textId="54AE660C" w:rsidR="005324B9" w:rsidRPr="009D0A7A" w:rsidRDefault="005324B9" w:rsidP="00CC2A79">
      <w:pPr>
        <w:pStyle w:val="Textodst1sl"/>
        <w:rPr>
          <w:sz w:val="22"/>
          <w:szCs w:val="22"/>
        </w:rPr>
      </w:pPr>
      <w:r>
        <w:rPr>
          <w:sz w:val="22"/>
          <w:szCs w:val="22"/>
        </w:rPr>
        <w:t xml:space="preserve">V případě přerušení Díla v rámci zimní přestávky, je Zhotovitel oprávněn vystavit dílčí fakturu, avšak pouze v případě předchozího odsouhlasení Objednatelem - osobou ve </w:t>
      </w:r>
      <w:r>
        <w:rPr>
          <w:sz w:val="22"/>
          <w:szCs w:val="22"/>
        </w:rPr>
        <w:lastRenderedPageBreak/>
        <w:t>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524A2291"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7273E1" w:rsidRPr="00CC5935">
        <w:rPr>
          <w:b/>
          <w:sz w:val="22"/>
          <w:szCs w:val="22"/>
        </w:rPr>
        <w:t>NZ 20</w:t>
      </w:r>
      <w:r w:rsidR="003305D1" w:rsidRPr="00CC5935">
        <w:rPr>
          <w:b/>
          <w:sz w:val="22"/>
          <w:szCs w:val="22"/>
        </w:rPr>
        <w:t>20</w:t>
      </w:r>
      <w:r w:rsidRPr="00CC5935">
        <w:rPr>
          <w:b/>
          <w:sz w:val="22"/>
          <w:szCs w:val="22"/>
        </w:rPr>
        <w:t>“</w:t>
      </w:r>
      <w:r w:rsidRPr="00CC5935">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lastRenderedPageBreak/>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62350663" w14:textId="4D4E21E7" w:rsidR="003C6092" w:rsidRPr="00F04838" w:rsidRDefault="00CC5935" w:rsidP="008D6ED8">
      <w:pPr>
        <w:pStyle w:val="Textodst1sl"/>
        <w:numPr>
          <w:ilvl w:val="0"/>
          <w:numId w:val="18"/>
        </w:numPr>
        <w:rPr>
          <w:sz w:val="22"/>
          <w:szCs w:val="22"/>
        </w:rPr>
      </w:pPr>
      <w:r>
        <w:rPr>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CC5935" w:rsidRDefault="0038024A" w:rsidP="003C6092">
      <w:pPr>
        <w:pStyle w:val="Textodst1sl"/>
        <w:rPr>
          <w:sz w:val="22"/>
          <w:szCs w:val="22"/>
        </w:rPr>
      </w:pPr>
      <w:r w:rsidRPr="0038024A">
        <w:rPr>
          <w:sz w:val="22"/>
          <w:szCs w:val="22"/>
        </w:rPr>
        <w:t xml:space="preserve">Objednatel je povinen vady Díla </w:t>
      </w:r>
      <w:r w:rsidRPr="00CC5935">
        <w:rPr>
          <w:sz w:val="22"/>
          <w:szCs w:val="22"/>
        </w:rPr>
        <w:t>u Zhotovitele reklamovat vždy písemně, vadu musí náležitě specifikovat či uvést, jak se tato projev</w:t>
      </w:r>
      <w:r w:rsidR="00F44CE4" w:rsidRPr="00CC5935">
        <w:rPr>
          <w:sz w:val="22"/>
          <w:szCs w:val="22"/>
        </w:rPr>
        <w:t>uje, a dále vznést požadavek na </w:t>
      </w:r>
      <w:r w:rsidRPr="00CC5935">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CC5935">
        <w:rPr>
          <w:sz w:val="22"/>
          <w:szCs w:val="22"/>
        </w:rPr>
        <w:t>Lhůta pro odstranění reklamovaných vad činí 15 dnů</w:t>
      </w:r>
      <w:r w:rsidRPr="0038024A">
        <w:rPr>
          <w:sz w:val="22"/>
          <w:szCs w:val="22"/>
        </w:rPr>
        <w:t xml:space="preserve">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 xml:space="preserve">Zhotovitel se zavazuje po dobu trvání této Smlouvy zajistit a udržovat pojištění své odpovědnosti za škodu způsobenou třetí osobě při výkonu podnikatelské činnosti, a to s pojistným plněním vyplývajícím z takového pojištění minimálně v hodnotě </w:t>
      </w:r>
      <w:r w:rsidRPr="0032654D">
        <w:rPr>
          <w:sz w:val="22"/>
          <w:szCs w:val="22"/>
        </w:rPr>
        <w:lastRenderedPageBreak/>
        <w:t>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CC5935">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w:t>
      </w:r>
      <w:r w:rsidRPr="0038024A">
        <w:rPr>
          <w:sz w:val="22"/>
          <w:szCs w:val="22"/>
        </w:rPr>
        <w:lastRenderedPageBreak/>
        <w:t>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CC5935"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CC5935">
        <w:rPr>
          <w:sz w:val="22"/>
          <w:szCs w:val="22"/>
        </w:rPr>
        <w:t>provádění Díla z důvodů nacházejících se výlučně</w:t>
      </w:r>
      <w:r w:rsidRPr="00CC5935">
        <w:rPr>
          <w:sz w:val="22"/>
          <w:szCs w:val="22"/>
        </w:rPr>
        <w:br/>
        <w:t>na straně Objednatele po dobu delší než 12 měsíců;</w:t>
      </w:r>
    </w:p>
    <w:p w14:paraId="57068E0F" w14:textId="77777777" w:rsidR="003C6092" w:rsidRPr="00CC5935" w:rsidRDefault="0038024A" w:rsidP="008D6ED8">
      <w:pPr>
        <w:pStyle w:val="Textodst1sl"/>
        <w:numPr>
          <w:ilvl w:val="0"/>
          <w:numId w:val="5"/>
        </w:numPr>
        <w:ind w:left="1418" w:hanging="272"/>
        <w:rPr>
          <w:sz w:val="22"/>
          <w:szCs w:val="22"/>
        </w:rPr>
      </w:pPr>
      <w:r w:rsidRPr="00CC5935">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CC5935">
        <w:rPr>
          <w:sz w:val="22"/>
          <w:szCs w:val="22"/>
        </w:rPr>
        <w:t>pozbude oprávnění vyžadovaného platnými právními předpisy k činnostem,</w:t>
      </w:r>
      <w:r w:rsidRPr="0038024A">
        <w:rPr>
          <w:sz w:val="22"/>
          <w:szCs w:val="22"/>
        </w:rPr>
        <w:t xml:space="preserve">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lastRenderedPageBreak/>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4B5007A7"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36433F">
        <w:rPr>
          <w:iCs/>
        </w:rPr>
        <w:t>Mgr. Zdeněk Dvořák, MPA, ředitel</w:t>
      </w:r>
    </w:p>
    <w:p w14:paraId="2CE7F3F9"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Pr="00D808C6">
          <w:rPr>
            <w:rStyle w:val="Hypertextovodkaz"/>
            <w:sz w:val="22"/>
            <w:szCs w:val="22"/>
          </w:rPr>
          <w:t>zdenek.dvorak@ksus.cz</w:t>
        </w:r>
      </w:hyperlink>
    </w:p>
    <w:p w14:paraId="59876276" w14:textId="77777777"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14:paraId="39D92764" w14:textId="77777777" w:rsidR="00A53C71" w:rsidRPr="00F04838" w:rsidRDefault="00A53C71" w:rsidP="00A53C71">
      <w:pPr>
        <w:pStyle w:val="Textodst1sl"/>
        <w:numPr>
          <w:ilvl w:val="0"/>
          <w:numId w:val="0"/>
        </w:numPr>
        <w:ind w:left="709"/>
        <w:rPr>
          <w:sz w:val="22"/>
          <w:szCs w:val="22"/>
        </w:rPr>
      </w:pPr>
    </w:p>
    <w:p w14:paraId="5AC8F34E" w14:textId="452FAFB3" w:rsidR="00A53C71" w:rsidRPr="00021B65" w:rsidRDefault="00A53C71" w:rsidP="00A53C71">
      <w:pPr>
        <w:pStyle w:val="Textodst1sl"/>
        <w:numPr>
          <w:ilvl w:val="0"/>
          <w:numId w:val="0"/>
        </w:numPr>
        <w:ind w:left="709"/>
        <w:rPr>
          <w:sz w:val="22"/>
          <w:szCs w:val="22"/>
        </w:rPr>
      </w:pPr>
      <w:r w:rsidRPr="00021B65">
        <w:rPr>
          <w:sz w:val="22"/>
          <w:szCs w:val="22"/>
        </w:rPr>
        <w:tab/>
        <w:t xml:space="preserve">ve věcech technických: </w:t>
      </w:r>
      <w:r w:rsidR="00ED038A">
        <w:rPr>
          <w:sz w:val="22"/>
          <w:szCs w:val="22"/>
        </w:rPr>
        <w:t>Ing. Martin Staněk</w:t>
      </w:r>
    </w:p>
    <w:p w14:paraId="6A2AD837" w14:textId="4AAA8FC5" w:rsidR="00A53C71" w:rsidRPr="00CC5935" w:rsidRDefault="00A53C71" w:rsidP="00A53C71">
      <w:pPr>
        <w:pStyle w:val="Textodst1sl"/>
        <w:numPr>
          <w:ilvl w:val="0"/>
          <w:numId w:val="0"/>
        </w:numPr>
        <w:ind w:left="709"/>
        <w:rPr>
          <w:sz w:val="22"/>
          <w:szCs w:val="22"/>
        </w:rPr>
      </w:pPr>
      <w:r w:rsidRPr="00021B65">
        <w:rPr>
          <w:sz w:val="22"/>
          <w:szCs w:val="22"/>
        </w:rPr>
        <w:tab/>
      </w:r>
      <w:r w:rsidRPr="00021B65">
        <w:rPr>
          <w:sz w:val="22"/>
          <w:szCs w:val="22"/>
        </w:rPr>
        <w:tab/>
      </w:r>
      <w:r w:rsidRPr="00021B65">
        <w:rPr>
          <w:sz w:val="22"/>
          <w:szCs w:val="22"/>
        </w:rPr>
        <w:tab/>
      </w:r>
      <w:r w:rsidRPr="00021B65">
        <w:rPr>
          <w:sz w:val="22"/>
          <w:szCs w:val="22"/>
        </w:rPr>
        <w:tab/>
        <w:t xml:space="preserve">email: </w:t>
      </w:r>
      <w:r w:rsidR="00ED038A">
        <w:rPr>
          <w:sz w:val="22"/>
          <w:szCs w:val="22"/>
        </w:rPr>
        <w:t>martin.stanek</w:t>
      </w:r>
      <w:bookmarkStart w:id="0" w:name="_GoBack"/>
      <w:bookmarkEnd w:id="0"/>
      <w:r w:rsidR="00CC5935">
        <w:rPr>
          <w:sz w:val="22"/>
          <w:szCs w:val="22"/>
          <w:lang w:val="en-US"/>
        </w:rPr>
        <w:t>@</w:t>
      </w:r>
      <w:r w:rsidR="00CC5935">
        <w:rPr>
          <w:sz w:val="22"/>
          <w:szCs w:val="22"/>
        </w:rPr>
        <w:t>ksus.cz</w:t>
      </w:r>
    </w:p>
    <w:p w14:paraId="08B5B0DE" w14:textId="07A3A8BD" w:rsidR="00A53C71" w:rsidRPr="00D808C6" w:rsidRDefault="00A53C71" w:rsidP="00A53C71">
      <w:pPr>
        <w:pStyle w:val="Textodst1sl"/>
        <w:numPr>
          <w:ilvl w:val="0"/>
          <w:numId w:val="0"/>
        </w:numPr>
        <w:ind w:left="709"/>
        <w:rPr>
          <w:sz w:val="22"/>
          <w:szCs w:val="22"/>
        </w:rPr>
      </w:pPr>
      <w:r w:rsidRPr="00021B65">
        <w:rPr>
          <w:sz w:val="22"/>
          <w:szCs w:val="22"/>
        </w:rPr>
        <w:tab/>
      </w:r>
    </w:p>
    <w:p w14:paraId="3D4EE3EE" w14:textId="58426E5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607B59">
        <w:rPr>
          <w:sz w:val="22"/>
          <w:szCs w:val="22"/>
        </w:rPr>
        <w:t>Ing. Jaroslava Jurková</w:t>
      </w:r>
      <w:r w:rsidRPr="00D808C6">
        <w:rPr>
          <w:sz w:val="22"/>
          <w:szCs w:val="22"/>
        </w:rPr>
        <w:t>, ekonomický náměstek</w:t>
      </w:r>
    </w:p>
    <w:p w14:paraId="168AEC8B" w14:textId="079066FD"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5" w:history="1">
        <w:r w:rsidR="00607B59">
          <w:rPr>
            <w:rStyle w:val="Hypertextovodkaz"/>
            <w:sz w:val="22"/>
            <w:szCs w:val="22"/>
          </w:rPr>
          <w:t>jaroslava.jurkova</w:t>
        </w:r>
        <w:r w:rsidRPr="00D808C6">
          <w:rPr>
            <w:rStyle w:val="Hypertextovodkaz"/>
            <w:sz w:val="22"/>
            <w:szCs w:val="22"/>
          </w:rPr>
          <w:t>@ksus.cz</w:t>
        </w:r>
      </w:hyperlink>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7947ADCF" w:rsidR="00AA6511" w:rsidRPr="00FA764D" w:rsidRDefault="00AA6511" w:rsidP="00AA6511">
      <w:pPr>
        <w:pStyle w:val="Textodst3psmena"/>
        <w:spacing w:line="276" w:lineRule="auto"/>
        <w:ind w:hanging="335"/>
        <w:rPr>
          <w:sz w:val="22"/>
          <w:szCs w:val="22"/>
        </w:rPr>
      </w:pPr>
      <w:r w:rsidRPr="00FA764D">
        <w:rPr>
          <w:sz w:val="22"/>
          <w:szCs w:val="22"/>
        </w:rPr>
        <w:t xml:space="preserve"> </w:t>
      </w:r>
      <w:r w:rsidR="0036433F">
        <w:rPr>
          <w:iCs/>
        </w:rPr>
        <w:t>Mgr. Zdeněk Dvořák, MPA, ředitel</w:t>
      </w:r>
    </w:p>
    <w:p w14:paraId="2141B7DF"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FA764D">
          <w:rPr>
            <w:rStyle w:val="Hypertextovodkaz"/>
            <w:sz w:val="22"/>
            <w:szCs w:val="22"/>
          </w:rPr>
          <w:t>zdenek.dvorak@ksus.cz</w:t>
        </w:r>
      </w:hyperlink>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 xml:space="preserve">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w:t>
      </w:r>
      <w:r w:rsidRPr="00DB5056">
        <w:rPr>
          <w:sz w:val="22"/>
          <w:szCs w:val="22"/>
        </w:rPr>
        <w:lastRenderedPageBreak/>
        <w:t>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CC5935" w:rsidRDefault="00263BB4" w:rsidP="00263BB4">
      <w:pPr>
        <w:pStyle w:val="Textodst1sl"/>
        <w:numPr>
          <w:ilvl w:val="0"/>
          <w:numId w:val="0"/>
        </w:numPr>
        <w:ind w:left="1430"/>
        <w:rPr>
          <w:sz w:val="22"/>
          <w:szCs w:val="22"/>
        </w:rPr>
      </w:pPr>
      <w:r w:rsidRPr="00CC5935">
        <w:rPr>
          <w:sz w:val="22"/>
          <w:szCs w:val="22"/>
        </w:rPr>
        <w:t>Příloha č. 5 – Časový plán výstavby – časový harmonogram</w:t>
      </w:r>
    </w:p>
    <w:p w14:paraId="5C52F53B" w14:textId="77777777" w:rsidR="00263BB4" w:rsidRPr="00CC5935" w:rsidRDefault="00263BB4" w:rsidP="00263BB4">
      <w:pPr>
        <w:pStyle w:val="Textodst1sl"/>
        <w:numPr>
          <w:ilvl w:val="0"/>
          <w:numId w:val="0"/>
        </w:numPr>
        <w:ind w:left="1430"/>
        <w:rPr>
          <w:sz w:val="22"/>
          <w:szCs w:val="22"/>
        </w:rPr>
      </w:pPr>
      <w:r w:rsidRPr="00CC5935">
        <w:rPr>
          <w:sz w:val="22"/>
          <w:szCs w:val="22"/>
        </w:rPr>
        <w:t xml:space="preserve">Příloha č. 6 – </w:t>
      </w:r>
      <w:r w:rsidR="00C1084A" w:rsidRPr="00CC5935">
        <w:rPr>
          <w:sz w:val="22"/>
          <w:szCs w:val="22"/>
        </w:rPr>
        <w:t>Seznam poddodavatelů a popis jejich plnění</w:t>
      </w:r>
    </w:p>
    <w:p w14:paraId="7596CB4C" w14:textId="05ECE59A" w:rsidR="004A6EB2" w:rsidRDefault="004A6EB2" w:rsidP="004A6EB2">
      <w:pPr>
        <w:pStyle w:val="Textodst1sl"/>
        <w:numPr>
          <w:ilvl w:val="0"/>
          <w:numId w:val="0"/>
        </w:numPr>
        <w:ind w:left="1430" w:hanging="720"/>
        <w:rPr>
          <w:sz w:val="22"/>
          <w:szCs w:val="22"/>
        </w:rPr>
      </w:pPr>
      <w:r w:rsidRPr="00CC5935">
        <w:rPr>
          <w:sz w:val="22"/>
          <w:szCs w:val="22"/>
        </w:rPr>
        <w:tab/>
        <w:t xml:space="preserve">Příloha č. </w:t>
      </w:r>
      <w:r w:rsidR="00CC3CDB" w:rsidRPr="00CC5935">
        <w:rPr>
          <w:sz w:val="22"/>
          <w:szCs w:val="22"/>
        </w:rPr>
        <w:t>7</w:t>
      </w:r>
      <w:r w:rsidRPr="00CC5935">
        <w:rPr>
          <w:sz w:val="22"/>
          <w:szCs w:val="22"/>
        </w:rPr>
        <w:t xml:space="preserve"> – Podpisový rámec realizační dokumentace stavby</w:t>
      </w:r>
      <w:r>
        <w:rPr>
          <w:sz w:val="22"/>
          <w:szCs w:val="22"/>
        </w:rPr>
        <w:t xml:space="preserve"> </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lastRenderedPageBreak/>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lastRenderedPageBreak/>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lastRenderedPageBreak/>
              <w:t>Krajská správa a údržba silnic Středočeského kraje, příspěvková organizace</w:t>
            </w:r>
          </w:p>
          <w:p w14:paraId="35B69C1D" w14:textId="78286342" w:rsidR="003C6092" w:rsidRPr="00F04838" w:rsidRDefault="000642A0" w:rsidP="00C73F04">
            <w:pPr>
              <w:keepNext/>
              <w:spacing w:before="80"/>
              <w:rPr>
                <w:sz w:val="22"/>
                <w:szCs w:val="22"/>
              </w:rPr>
            </w:pPr>
            <w:r>
              <w:rPr>
                <w:iCs/>
              </w:rPr>
              <w:t>Mgr. Zdeněk Dvořák, MPA,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9B6FC2">
          <w:footerReference w:type="default" r:id="rId18"/>
          <w:headerReference w:type="first" r:id="rId19"/>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lastRenderedPageBreak/>
        <w:br w:type="page"/>
      </w: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1A8CC810"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ED038A">
              <w:rPr>
                <w:rFonts w:ascii="Calibri" w:hAnsi="Calibri" w:cs="Calibri"/>
                <w:noProof/>
                <w:color w:val="A6A6A6" w:themeColor="background1" w:themeShade="A6"/>
                <w:sz w:val="20"/>
              </w:rPr>
              <w:t>23</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ED038A">
              <w:rPr>
                <w:rFonts w:ascii="Calibri" w:hAnsi="Calibri" w:cs="Calibri"/>
                <w:noProof/>
                <w:color w:val="A6A6A6" w:themeColor="background1" w:themeShade="A6"/>
                <w:sz w:val="20"/>
              </w:rPr>
              <w:t>57</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lastRenderedPageBreak/>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1"/>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FCAB01F" w14:textId="77777777" w:rsidR="008E6552" w:rsidRPr="008E6552" w:rsidRDefault="008E6552" w:rsidP="008E6552">
      <w:pPr>
        <w:tabs>
          <w:tab w:val="left" w:pos="3285"/>
        </w:tabs>
        <w:spacing w:before="1000" w:after="1200"/>
        <w:rPr>
          <w:rFonts w:ascii="OfficinaSanItcTEE" w:hAnsi="OfficinaSanItcTEE"/>
          <w:sz w:val="22"/>
          <w:szCs w:val="24"/>
        </w:rPr>
      </w:pPr>
    </w:p>
    <w:p w14:paraId="2DD368A9"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2262D53E"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449B67B1"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18E5C5AC" w14:textId="77777777" w:rsidR="008E6552" w:rsidRPr="008E6552" w:rsidRDefault="008E6552" w:rsidP="008E6552">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41DD1F31" w14:textId="77777777" w:rsidR="008E6552" w:rsidRPr="008E6552" w:rsidRDefault="008E6552" w:rsidP="008E6552">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5B026E1F" w14:textId="77777777" w:rsidR="008E6552" w:rsidRPr="008E6552" w:rsidRDefault="008E6552" w:rsidP="008E6552">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8E6552" w:rsidRPr="008E6552" w14:paraId="701A537C" w14:textId="77777777" w:rsidTr="008B5DEF">
        <w:trPr>
          <w:trHeight w:val="363"/>
        </w:trPr>
        <w:tc>
          <w:tcPr>
            <w:tcW w:w="3061" w:type="dxa"/>
          </w:tcPr>
          <w:p w14:paraId="07477481"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5B4D3927"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3C96612A"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8E6552" w:rsidRPr="008E6552" w14:paraId="4CB8D10C" w14:textId="77777777" w:rsidTr="008B5DEF">
        <w:tc>
          <w:tcPr>
            <w:tcW w:w="3061" w:type="dxa"/>
          </w:tcPr>
          <w:p w14:paraId="3D01A3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02FC5EE7"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26D1766C"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8E6552" w:rsidRPr="008E6552" w14:paraId="33EE71FA" w14:textId="77777777" w:rsidTr="008B5DEF">
        <w:trPr>
          <w:trHeight w:val="309"/>
        </w:trPr>
        <w:tc>
          <w:tcPr>
            <w:tcW w:w="3061" w:type="dxa"/>
          </w:tcPr>
          <w:p w14:paraId="69389299"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3A5CDE3C"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17C677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8E6552" w:rsidRPr="008E6552" w14:paraId="5D039634" w14:textId="77777777" w:rsidTr="008B5DEF">
        <w:trPr>
          <w:trHeight w:val="990"/>
        </w:trPr>
        <w:tc>
          <w:tcPr>
            <w:tcW w:w="3061" w:type="dxa"/>
          </w:tcPr>
          <w:p w14:paraId="5D974562"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0F4D97F9"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2ECBD6FE"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6DA6311D" w14:textId="77777777" w:rsidR="008E6552" w:rsidRPr="008E6552" w:rsidRDefault="008E6552" w:rsidP="008E6552">
      <w:pPr>
        <w:tabs>
          <w:tab w:val="clear" w:pos="0"/>
          <w:tab w:val="clear" w:pos="284"/>
          <w:tab w:val="clear" w:pos="1701"/>
        </w:tabs>
        <w:spacing w:before="200"/>
        <w:jc w:val="center"/>
        <w:rPr>
          <w:rFonts w:ascii="OfficinaSanItcTEE" w:hAnsi="OfficinaSanItcTEE"/>
          <w:sz w:val="22"/>
          <w:szCs w:val="24"/>
        </w:rPr>
      </w:pPr>
    </w:p>
    <w:p w14:paraId="1BB718C7"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8E6552" w:rsidRPr="008E6552" w14:paraId="0EFE40FF" w14:textId="77777777" w:rsidTr="008B5DEF">
        <w:trPr>
          <w:cantSplit/>
          <w:trHeight w:val="278"/>
        </w:trPr>
        <w:tc>
          <w:tcPr>
            <w:tcW w:w="4140" w:type="dxa"/>
            <w:gridSpan w:val="2"/>
          </w:tcPr>
          <w:p w14:paraId="5A3E4BDB" w14:textId="77777777" w:rsidR="008E6552" w:rsidRPr="008E6552" w:rsidRDefault="008E6552" w:rsidP="008E6552">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2F0E7ED" w14:textId="77777777" w:rsidR="008E6552" w:rsidRPr="008E6552" w:rsidRDefault="008E6552" w:rsidP="008E6552">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8E6552" w:rsidRPr="008E6552" w14:paraId="493D28E7" w14:textId="77777777" w:rsidTr="008B5DEF">
        <w:trPr>
          <w:cantSplit/>
          <w:trHeight w:val="277"/>
        </w:trPr>
        <w:tc>
          <w:tcPr>
            <w:tcW w:w="4140" w:type="dxa"/>
            <w:gridSpan w:val="2"/>
          </w:tcPr>
          <w:p w14:paraId="4B103E91" w14:textId="77777777" w:rsidR="008E6552" w:rsidRPr="008E6552" w:rsidRDefault="008E6552" w:rsidP="008E6552">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8E6552" w:rsidRPr="008E6552" w14:paraId="051E071D" w14:textId="77777777" w:rsidTr="008B5DEF">
        <w:trPr>
          <w:trHeight w:val="277"/>
        </w:trPr>
        <w:tc>
          <w:tcPr>
            <w:tcW w:w="2028" w:type="dxa"/>
          </w:tcPr>
          <w:p w14:paraId="4A56F2CB"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04AD3D87" w14:textId="77777777" w:rsidR="008E6552" w:rsidRPr="008E6552" w:rsidRDefault="008E6552" w:rsidP="008E6552">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8E6552" w:rsidRPr="008E6552" w14:paraId="3E79FCF1" w14:textId="77777777" w:rsidTr="008B5DEF">
        <w:trPr>
          <w:trHeight w:val="277"/>
        </w:trPr>
        <w:tc>
          <w:tcPr>
            <w:tcW w:w="2028" w:type="dxa"/>
          </w:tcPr>
          <w:p w14:paraId="6C03974F" w14:textId="77777777" w:rsidR="008E6552" w:rsidRPr="008E6552" w:rsidRDefault="008E6552" w:rsidP="008E6552">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14:paraId="60D09F3E" w14:textId="77777777" w:rsidR="008E6552" w:rsidRPr="008E6552" w:rsidRDefault="008E6552" w:rsidP="008E6552">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68E98735" w14:textId="77777777" w:rsidR="008E6552" w:rsidRPr="008E6552" w:rsidRDefault="008E6552" w:rsidP="008E6552">
      <w:pPr>
        <w:tabs>
          <w:tab w:val="clear" w:pos="0"/>
          <w:tab w:val="clear" w:pos="284"/>
          <w:tab w:val="clear" w:pos="1701"/>
        </w:tabs>
        <w:spacing w:before="200"/>
        <w:rPr>
          <w:rFonts w:ascii="OfficinaSanItcTEE" w:hAnsi="OfficinaSanItcTEE"/>
          <w:sz w:val="22"/>
          <w:szCs w:val="24"/>
        </w:rPr>
      </w:pPr>
    </w:p>
    <w:p w14:paraId="61F4FE67"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p>
    <w:p w14:paraId="0ED0A2D1" w14:textId="77777777" w:rsidR="008E6552" w:rsidRPr="008E6552" w:rsidRDefault="008E6552" w:rsidP="008E6552">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Pr="008E6552">
        <w:rPr>
          <w:rFonts w:ascii="OfficinaSanItcTEE" w:hAnsi="OfficinaSanItcTEE"/>
          <w:b/>
          <w:sz w:val="20"/>
          <w:szCs w:val="24"/>
        </w:rPr>
        <w:fldChar w:fldCharType="begin"/>
      </w:r>
      <w:r w:rsidRPr="008E6552">
        <w:rPr>
          <w:rFonts w:ascii="OfficinaSanItcTEE" w:hAnsi="OfficinaSanItcTEE"/>
          <w:b/>
          <w:sz w:val="20"/>
          <w:szCs w:val="24"/>
        </w:rPr>
        <w:instrText xml:space="preserve"> DOCPROPERTY "Účinnost do"  \* MERGEFORMAT </w:instrText>
      </w:r>
      <w:r w:rsidRPr="008E6552">
        <w:rPr>
          <w:rFonts w:ascii="OfficinaSanItcTEE" w:hAnsi="OfficinaSanItcTEE"/>
          <w:b/>
          <w:sz w:val="20"/>
          <w:szCs w:val="24"/>
        </w:rPr>
        <w:fldChar w:fldCharType="separate"/>
      </w:r>
      <w:r w:rsidRPr="008E6552">
        <w:rPr>
          <w:rFonts w:ascii="OfficinaSanItcTEE" w:hAnsi="OfficinaSanItcTEE"/>
          <w:b/>
          <w:sz w:val="20"/>
          <w:szCs w:val="24"/>
        </w:rPr>
        <w:t xml:space="preserve"> </w:t>
      </w:r>
      <w:r w:rsidRPr="008E6552">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8E6552" w:rsidRPr="008E6552" w14:paraId="1D7E24A2" w14:textId="77777777" w:rsidTr="008B5DEF">
        <w:trPr>
          <w:jc w:val="center"/>
        </w:trPr>
        <w:tc>
          <w:tcPr>
            <w:tcW w:w="3070" w:type="dxa"/>
          </w:tcPr>
          <w:p w14:paraId="7502E6E4" w14:textId="77777777" w:rsidR="008E6552" w:rsidRPr="008E6552" w:rsidRDefault="008E6552" w:rsidP="008E6552">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0B60B729" w14:textId="77777777" w:rsidR="008E6552" w:rsidRPr="008E6552" w:rsidRDefault="008E6552" w:rsidP="008E6552">
            <w:pPr>
              <w:tabs>
                <w:tab w:val="clear" w:pos="0"/>
                <w:tab w:val="clear" w:pos="284"/>
                <w:tab w:val="clear" w:pos="1701"/>
              </w:tabs>
              <w:jc w:val="center"/>
              <w:rPr>
                <w:rFonts w:ascii="OfficinaSanItcTEE" w:hAnsi="OfficinaSanItcTEE"/>
                <w:b/>
                <w:sz w:val="20"/>
                <w:szCs w:val="24"/>
              </w:rPr>
            </w:pPr>
          </w:p>
        </w:tc>
        <w:tc>
          <w:tcPr>
            <w:tcW w:w="3071" w:type="dxa"/>
          </w:tcPr>
          <w:p w14:paraId="185F5CF7" w14:textId="77777777" w:rsidR="008E6552" w:rsidRPr="008E6552" w:rsidRDefault="008E6552" w:rsidP="008E6552">
            <w:pPr>
              <w:tabs>
                <w:tab w:val="clear" w:pos="0"/>
                <w:tab w:val="clear" w:pos="284"/>
                <w:tab w:val="clear" w:pos="1701"/>
              </w:tabs>
              <w:jc w:val="right"/>
              <w:rPr>
                <w:rFonts w:ascii="OfficinaSanItcTEE" w:hAnsi="OfficinaSanItcTEE"/>
                <w:b/>
                <w:sz w:val="20"/>
                <w:szCs w:val="24"/>
              </w:rPr>
            </w:pPr>
          </w:p>
        </w:tc>
      </w:tr>
    </w:tbl>
    <w:p w14:paraId="0B501779"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1AA12E6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347E477D"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p>
    <w:p w14:paraId="6B895BFA" w14:textId="77777777" w:rsidR="008E6552" w:rsidRPr="008E6552" w:rsidRDefault="008E6552" w:rsidP="008E6552">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8E6552" w:rsidRPr="008E6552" w14:paraId="5BD32129" w14:textId="77777777" w:rsidTr="008B5DEF">
        <w:trPr>
          <w:cantSplit/>
        </w:trPr>
        <w:tc>
          <w:tcPr>
            <w:tcW w:w="3850" w:type="dxa"/>
            <w:gridSpan w:val="3"/>
            <w:tcBorders>
              <w:top w:val="single" w:sz="4" w:space="0" w:color="auto"/>
              <w:left w:val="single" w:sz="4" w:space="0" w:color="auto"/>
              <w:bottom w:val="single" w:sz="4" w:space="0" w:color="auto"/>
              <w:right w:val="single" w:sz="4" w:space="0" w:color="auto"/>
            </w:tcBorders>
          </w:tcPr>
          <w:p w14:paraId="0F9A704C" w14:textId="77777777" w:rsidR="008E6552" w:rsidRPr="008E6552" w:rsidRDefault="008E6552" w:rsidP="008E6552">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32D2CB6F" w14:textId="77777777" w:rsidR="008E6552" w:rsidRPr="008E6552" w:rsidRDefault="008E6552" w:rsidP="008E6552">
            <w:pPr>
              <w:tabs>
                <w:tab w:val="clear" w:pos="0"/>
                <w:tab w:val="clear" w:pos="284"/>
                <w:tab w:val="clear" w:pos="1701"/>
              </w:tabs>
              <w:rPr>
                <w:rFonts w:ascii="OfficinaSanItcTEE" w:hAnsi="OfficinaSanItcTEE"/>
                <w:sz w:val="20"/>
                <w:szCs w:val="24"/>
              </w:rPr>
            </w:pPr>
          </w:p>
        </w:tc>
      </w:tr>
      <w:tr w:rsidR="008E6552" w:rsidRPr="008E6552" w14:paraId="3D4BE25A" w14:textId="77777777" w:rsidTr="008B5DEF">
        <w:tc>
          <w:tcPr>
            <w:tcW w:w="663" w:type="dxa"/>
            <w:tcBorders>
              <w:top w:val="single" w:sz="4" w:space="0" w:color="auto"/>
              <w:left w:val="single" w:sz="4" w:space="0" w:color="auto"/>
              <w:bottom w:val="single" w:sz="4" w:space="0" w:color="auto"/>
              <w:right w:val="single" w:sz="4" w:space="0" w:color="auto"/>
            </w:tcBorders>
          </w:tcPr>
          <w:p w14:paraId="4DAC18C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E407AC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6AB37D0F"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02D194F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8E6552" w:rsidRPr="008E6552" w14:paraId="0049F62F" w14:textId="77777777" w:rsidTr="008B5DEF">
        <w:tc>
          <w:tcPr>
            <w:tcW w:w="663" w:type="dxa"/>
            <w:tcBorders>
              <w:top w:val="single" w:sz="4" w:space="0" w:color="auto"/>
              <w:left w:val="single" w:sz="4" w:space="0" w:color="auto"/>
              <w:bottom w:val="single" w:sz="4" w:space="0" w:color="auto"/>
              <w:right w:val="single" w:sz="4" w:space="0" w:color="auto"/>
            </w:tcBorders>
          </w:tcPr>
          <w:p w14:paraId="233779C1"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2246B08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14:paraId="0CEF664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5733FBA6"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8E6552" w:rsidRPr="008E6552" w14:paraId="2F76DCFD"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30762B9D"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4073E4E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14:paraId="392142FE"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C13D24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8E6552" w:rsidRPr="008E6552" w14:paraId="516F0E19"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E089EA9"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2BBBC7E9"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14:paraId="5DF0FBB3"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0F4FBDD"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8E6552" w:rsidRPr="008E6552" w14:paraId="1CEF51E7"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C7CB37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46FEC8FB"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14:paraId="377127B7"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0B0D6BDA" w14:textId="77777777" w:rsidR="008E6552" w:rsidRPr="008E6552" w:rsidRDefault="008E6552" w:rsidP="008E6552">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8E6552" w:rsidRPr="008E6552" w14:paraId="4AE4EDFA"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425DE3E"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5BCBA366"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2E4866B5"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2A9901C0"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r w:rsidR="008E6552" w:rsidRPr="008E6552" w14:paraId="3C95BA0B" w14:textId="77777777" w:rsidTr="008B5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B8A77BF" w14:textId="77777777" w:rsidR="008E6552" w:rsidRPr="008E6552" w:rsidRDefault="008E6552" w:rsidP="008E6552">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1A20B1C1"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73500B02" w14:textId="77777777" w:rsidR="008E6552" w:rsidRPr="008E6552" w:rsidRDefault="008E6552" w:rsidP="008E6552">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0C33A05" w14:textId="77777777" w:rsidR="008E6552" w:rsidRPr="008E6552" w:rsidRDefault="008E6552" w:rsidP="008E6552">
            <w:pPr>
              <w:tabs>
                <w:tab w:val="clear" w:pos="0"/>
                <w:tab w:val="clear" w:pos="284"/>
                <w:tab w:val="clear" w:pos="1701"/>
              </w:tabs>
              <w:rPr>
                <w:rFonts w:ascii="OfficinaSanItcTEE" w:hAnsi="OfficinaSanItcTEE"/>
                <w:sz w:val="18"/>
                <w:szCs w:val="24"/>
              </w:rPr>
            </w:pPr>
          </w:p>
        </w:tc>
      </w:tr>
    </w:tbl>
    <w:p w14:paraId="570F04DF" w14:textId="77777777" w:rsidR="008E6552" w:rsidRPr="008E6552" w:rsidRDefault="008E6552" w:rsidP="008E6552">
      <w:pPr>
        <w:tabs>
          <w:tab w:val="clear" w:pos="0"/>
          <w:tab w:val="clear" w:pos="284"/>
          <w:tab w:val="clear" w:pos="1701"/>
        </w:tabs>
        <w:spacing w:after="60"/>
        <w:rPr>
          <w:b/>
          <w:sz w:val="22"/>
          <w:szCs w:val="22"/>
        </w:rPr>
      </w:pPr>
    </w:p>
    <w:p w14:paraId="763AC6C9" w14:textId="77777777" w:rsidR="008E6552" w:rsidRPr="008E6552" w:rsidRDefault="008E6552" w:rsidP="008E6552">
      <w:pPr>
        <w:tabs>
          <w:tab w:val="clear" w:pos="0"/>
          <w:tab w:val="clear" w:pos="284"/>
          <w:tab w:val="clear" w:pos="1701"/>
        </w:tabs>
        <w:spacing w:before="60" w:after="60"/>
        <w:outlineLvl w:val="4"/>
        <w:rPr>
          <w:i/>
          <w:iCs/>
          <w:caps/>
          <w:sz w:val="22"/>
          <w:szCs w:val="26"/>
        </w:rPr>
      </w:pPr>
    </w:p>
    <w:p w14:paraId="47E8FCD0" w14:textId="77777777" w:rsidR="008E6552" w:rsidRPr="008E6552" w:rsidRDefault="008E6552" w:rsidP="008E6552">
      <w:pPr>
        <w:tabs>
          <w:tab w:val="clear" w:pos="0"/>
          <w:tab w:val="clear" w:pos="284"/>
          <w:tab w:val="clear" w:pos="1701"/>
        </w:tabs>
        <w:spacing w:after="200" w:line="276" w:lineRule="auto"/>
        <w:rPr>
          <w:b/>
          <w:bCs/>
          <w:sz w:val="22"/>
          <w:szCs w:val="22"/>
        </w:rPr>
      </w:pPr>
    </w:p>
    <w:p w14:paraId="503791B3" w14:textId="77777777" w:rsidR="008E6552" w:rsidRPr="008E6552" w:rsidRDefault="008E6552" w:rsidP="008E6552">
      <w:pPr>
        <w:tabs>
          <w:tab w:val="clear" w:pos="0"/>
          <w:tab w:val="clear" w:pos="284"/>
          <w:tab w:val="clear" w:pos="1701"/>
        </w:tabs>
        <w:spacing w:after="200" w:line="276" w:lineRule="auto"/>
        <w:rPr>
          <w:b/>
          <w:bCs/>
          <w:sz w:val="22"/>
          <w:szCs w:val="22"/>
        </w:rPr>
      </w:pPr>
    </w:p>
    <w:p w14:paraId="7EDD6D92" w14:textId="77777777" w:rsidR="008E6552" w:rsidRPr="008E6552" w:rsidRDefault="008E6552" w:rsidP="008E6552">
      <w:pPr>
        <w:tabs>
          <w:tab w:val="clear" w:pos="0"/>
          <w:tab w:val="clear" w:pos="284"/>
          <w:tab w:val="clear" w:pos="1701"/>
        </w:tabs>
        <w:spacing w:after="200" w:line="276" w:lineRule="auto"/>
        <w:rPr>
          <w:b/>
          <w:bCs/>
          <w:sz w:val="22"/>
          <w:szCs w:val="22"/>
        </w:rPr>
      </w:pPr>
    </w:p>
    <w:p w14:paraId="0FC16950" w14:textId="77777777" w:rsidR="008E6552" w:rsidRPr="008E6552" w:rsidRDefault="008E6552" w:rsidP="008E6552">
      <w:pPr>
        <w:tabs>
          <w:tab w:val="clear" w:pos="0"/>
          <w:tab w:val="clear" w:pos="284"/>
          <w:tab w:val="clear" w:pos="1701"/>
        </w:tabs>
        <w:spacing w:after="200" w:line="276" w:lineRule="auto"/>
        <w:rPr>
          <w:b/>
          <w:bCs/>
          <w:sz w:val="22"/>
          <w:szCs w:val="22"/>
        </w:rPr>
      </w:pPr>
    </w:p>
    <w:p w14:paraId="09F1CB80" w14:textId="77777777" w:rsidR="008E6552" w:rsidRPr="008E6552" w:rsidRDefault="008E6552" w:rsidP="008E6552">
      <w:pPr>
        <w:tabs>
          <w:tab w:val="clear" w:pos="0"/>
          <w:tab w:val="clear" w:pos="284"/>
          <w:tab w:val="clear" w:pos="1701"/>
        </w:tabs>
        <w:spacing w:after="200" w:line="276" w:lineRule="auto"/>
        <w:rPr>
          <w:b/>
          <w:bCs/>
          <w:sz w:val="22"/>
          <w:szCs w:val="22"/>
        </w:rPr>
      </w:pPr>
    </w:p>
    <w:p w14:paraId="1C18B223"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76AAE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35863C2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9BD6F1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35AB80A"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7A5341F4"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7162440"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77999C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6F0CF155" w14:textId="77777777" w:rsidR="008E6552" w:rsidRPr="008E6552" w:rsidRDefault="008E6552" w:rsidP="008E6552">
      <w:pPr>
        <w:tabs>
          <w:tab w:val="clear" w:pos="0"/>
          <w:tab w:val="clear" w:pos="284"/>
          <w:tab w:val="clear" w:pos="1701"/>
          <w:tab w:val="left" w:pos="1080"/>
        </w:tabs>
        <w:spacing w:before="120" w:after="120"/>
        <w:ind w:left="1418"/>
        <w:rPr>
          <w:b/>
          <w:bCs/>
          <w:sz w:val="28"/>
          <w:szCs w:val="22"/>
          <w:u w:val="single"/>
        </w:rPr>
      </w:pPr>
    </w:p>
    <w:p w14:paraId="5E9330C1" w14:textId="77777777" w:rsidR="008E6552" w:rsidRPr="008E6552" w:rsidRDefault="008E6552" w:rsidP="008E6552">
      <w:pPr>
        <w:tabs>
          <w:tab w:val="clear" w:pos="0"/>
          <w:tab w:val="clear" w:pos="284"/>
          <w:tab w:val="clear" w:pos="1701"/>
          <w:tab w:val="left" w:pos="1080"/>
        </w:tabs>
        <w:spacing w:before="120" w:after="120"/>
        <w:ind w:left="709"/>
        <w:rPr>
          <w:b/>
          <w:bCs/>
          <w:sz w:val="28"/>
          <w:szCs w:val="22"/>
          <w:u w:val="single"/>
        </w:rPr>
      </w:pPr>
    </w:p>
    <w:p w14:paraId="4FC24516"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6AE14930"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5FC19B5D" w14:textId="77777777" w:rsidR="008E6552" w:rsidRDefault="008E6552" w:rsidP="008E6552">
      <w:pPr>
        <w:tabs>
          <w:tab w:val="clear" w:pos="0"/>
          <w:tab w:val="clear" w:pos="284"/>
          <w:tab w:val="clear" w:pos="1701"/>
          <w:tab w:val="left" w:pos="1080"/>
        </w:tabs>
        <w:spacing w:before="120" w:after="120"/>
        <w:ind w:left="1418"/>
        <w:jc w:val="left"/>
        <w:rPr>
          <w:b/>
          <w:bCs/>
          <w:sz w:val="28"/>
          <w:szCs w:val="22"/>
          <w:u w:val="single"/>
        </w:rPr>
      </w:pPr>
    </w:p>
    <w:p w14:paraId="21723267" w14:textId="77777777" w:rsidR="008E6552" w:rsidRPr="008E6552" w:rsidRDefault="008E6552" w:rsidP="008E6552">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14:paraId="3504574F" w14:textId="77777777" w:rsidR="008E6552" w:rsidRPr="008E6552" w:rsidRDefault="008E6552" w:rsidP="008E6552">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02964CE4"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14:paraId="5B107C7A"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14:paraId="22843043" w14:textId="77777777" w:rsidR="008E6552" w:rsidRPr="008E6552" w:rsidRDefault="008E6552" w:rsidP="008E6552">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443C3FF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566E1D4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5966EC8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14:paraId="5C8C39C0"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14:paraId="0A9064A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60711AD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14:paraId="6E1FF70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14:paraId="5B54E5F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6306281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14:paraId="7E3CD68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14:paraId="7EFE6FD3"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0214E4D2"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769B06CE"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14:paraId="346107B9"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14:paraId="09720A9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770C25A7"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14:paraId="280D74BA"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14:paraId="2743BD31"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14:paraId="6CBDCE6D"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48A50C54"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14:paraId="7ED6DF88" w14:textId="77777777" w:rsidR="008E6552" w:rsidRPr="008E6552" w:rsidRDefault="008E6552" w:rsidP="008E6552">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14:paraId="144A6FA0" w14:textId="77777777" w:rsidR="008E6552" w:rsidRPr="008E6552" w:rsidRDefault="008E6552" w:rsidP="008E6552">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14:paraId="06A9137D" w14:textId="77777777" w:rsidR="008E6552" w:rsidRPr="008E6552" w:rsidRDefault="008E6552" w:rsidP="008E6552">
      <w:pPr>
        <w:tabs>
          <w:tab w:val="clear" w:pos="0"/>
          <w:tab w:val="clear" w:pos="284"/>
          <w:tab w:val="clear" w:pos="1701"/>
        </w:tabs>
        <w:spacing w:after="200" w:line="276" w:lineRule="auto"/>
        <w:jc w:val="left"/>
        <w:rPr>
          <w:sz w:val="22"/>
          <w:szCs w:val="22"/>
        </w:rPr>
      </w:pPr>
      <w:r w:rsidRPr="008E6552">
        <w:rPr>
          <w:sz w:val="22"/>
          <w:szCs w:val="22"/>
        </w:rPr>
        <w:br w:type="page"/>
      </w:r>
    </w:p>
    <w:p w14:paraId="1F5D450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582DF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ustanovení</w:t>
      </w:r>
    </w:p>
    <w:p w14:paraId="75FF81B4" w14:textId="77777777" w:rsidR="008E6552" w:rsidRPr="008E6552" w:rsidRDefault="008E6552" w:rsidP="008E6552">
      <w:pPr>
        <w:tabs>
          <w:tab w:val="clear" w:pos="0"/>
          <w:tab w:val="clear" w:pos="284"/>
          <w:tab w:val="clear" w:pos="1701"/>
        </w:tabs>
        <w:spacing w:after="60"/>
        <w:ind w:left="1418"/>
        <w:jc w:val="center"/>
        <w:rPr>
          <w:b/>
          <w:sz w:val="22"/>
          <w:szCs w:val="22"/>
        </w:rPr>
      </w:pPr>
    </w:p>
    <w:p w14:paraId="661FC369"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1</w:t>
      </w:r>
    </w:p>
    <w:p w14:paraId="6B98781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Působnost Směrnice</w:t>
      </w:r>
    </w:p>
    <w:p w14:paraId="53433E1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55B162B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11245A47"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AA802D3"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5A8138DC"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2A6F3274" w14:textId="77777777" w:rsidR="008E6552" w:rsidRPr="008E6552" w:rsidRDefault="008E6552" w:rsidP="008E6552">
      <w:pPr>
        <w:numPr>
          <w:ilvl w:val="0"/>
          <w:numId w:val="49"/>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06EF6084" w14:textId="77777777" w:rsidR="008E6552" w:rsidRPr="008E6552" w:rsidRDefault="008E6552" w:rsidP="008E6552">
      <w:pPr>
        <w:tabs>
          <w:tab w:val="clear" w:pos="0"/>
          <w:tab w:val="clear" w:pos="284"/>
          <w:tab w:val="clear" w:pos="1701"/>
        </w:tabs>
        <w:spacing w:after="60"/>
        <w:ind w:left="1418"/>
        <w:jc w:val="center"/>
        <w:rPr>
          <w:b/>
          <w:sz w:val="22"/>
          <w:szCs w:val="22"/>
        </w:rPr>
      </w:pPr>
    </w:p>
    <w:p w14:paraId="2856494C" w14:textId="77777777" w:rsidR="008E6552" w:rsidRPr="008E6552" w:rsidRDefault="008E6552" w:rsidP="008E6552">
      <w:pPr>
        <w:tabs>
          <w:tab w:val="clear" w:pos="0"/>
          <w:tab w:val="clear" w:pos="284"/>
          <w:tab w:val="clear" w:pos="1701"/>
        </w:tabs>
        <w:spacing w:after="60"/>
        <w:ind w:left="1418"/>
        <w:jc w:val="center"/>
        <w:rPr>
          <w:b/>
          <w:sz w:val="22"/>
          <w:szCs w:val="22"/>
        </w:rPr>
      </w:pPr>
    </w:p>
    <w:p w14:paraId="1146BBEF" w14:textId="77777777" w:rsidR="008E6552" w:rsidRPr="008E6552" w:rsidRDefault="008E6552" w:rsidP="008E6552">
      <w:pPr>
        <w:tabs>
          <w:tab w:val="clear" w:pos="0"/>
          <w:tab w:val="clear" w:pos="284"/>
          <w:tab w:val="clear" w:pos="1701"/>
        </w:tabs>
        <w:spacing w:after="60"/>
        <w:ind w:left="1418"/>
        <w:jc w:val="center"/>
        <w:rPr>
          <w:b/>
          <w:sz w:val="22"/>
          <w:szCs w:val="22"/>
        </w:rPr>
      </w:pPr>
    </w:p>
    <w:p w14:paraId="61A472B3" w14:textId="77777777" w:rsidR="008E6552" w:rsidRPr="008E6552" w:rsidRDefault="008E6552" w:rsidP="008E6552">
      <w:pPr>
        <w:tabs>
          <w:tab w:val="clear" w:pos="0"/>
          <w:tab w:val="clear" w:pos="284"/>
          <w:tab w:val="clear" w:pos="1701"/>
        </w:tabs>
        <w:spacing w:after="60"/>
        <w:ind w:left="1418"/>
        <w:jc w:val="center"/>
        <w:rPr>
          <w:b/>
          <w:sz w:val="22"/>
          <w:szCs w:val="22"/>
        </w:rPr>
      </w:pPr>
    </w:p>
    <w:p w14:paraId="7CD123A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w:t>
      </w:r>
    </w:p>
    <w:p w14:paraId="7E529E34"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428C228F" w14:textId="77777777" w:rsidR="008E6552" w:rsidRPr="008E6552" w:rsidRDefault="008E6552" w:rsidP="008E6552">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1516908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1DB471CD"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2E7E93A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48F225E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2"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0CA52BB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378BF888"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0FCA5173"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14:paraId="5FA36CA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1B8C7EF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77EF8EF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3C4C6D47"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5B0904A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04043591"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3087A650"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5F040C19"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39510E66"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75A2276F"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68CFB8FE" w14:textId="77777777" w:rsidR="008E6552" w:rsidRPr="008E6552" w:rsidRDefault="008E6552" w:rsidP="008E6552">
      <w:pPr>
        <w:widowControl w:val="0"/>
        <w:numPr>
          <w:ilvl w:val="0"/>
          <w:numId w:val="24"/>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03F8E93B" w14:textId="77777777" w:rsidR="008E6552" w:rsidRPr="008E6552" w:rsidRDefault="008E6552" w:rsidP="008E6552">
      <w:pPr>
        <w:tabs>
          <w:tab w:val="clear" w:pos="0"/>
          <w:tab w:val="clear" w:pos="284"/>
          <w:tab w:val="clear" w:pos="1701"/>
        </w:tabs>
        <w:spacing w:after="60"/>
        <w:ind w:left="1418"/>
        <w:jc w:val="center"/>
        <w:rPr>
          <w:b/>
          <w:sz w:val="22"/>
          <w:szCs w:val="22"/>
        </w:rPr>
      </w:pPr>
    </w:p>
    <w:p w14:paraId="7F1820B2"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5BAB499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Změny během výstavby</w:t>
      </w:r>
    </w:p>
    <w:p w14:paraId="55323816" w14:textId="77777777" w:rsidR="008E6552" w:rsidRPr="008E6552" w:rsidRDefault="008E6552" w:rsidP="008E6552">
      <w:pPr>
        <w:tabs>
          <w:tab w:val="clear" w:pos="0"/>
          <w:tab w:val="clear" w:pos="284"/>
          <w:tab w:val="clear" w:pos="1701"/>
        </w:tabs>
        <w:spacing w:after="60"/>
        <w:ind w:left="1418"/>
        <w:jc w:val="center"/>
        <w:rPr>
          <w:b/>
          <w:sz w:val="22"/>
          <w:szCs w:val="22"/>
        </w:rPr>
      </w:pPr>
    </w:p>
    <w:p w14:paraId="029E79DD"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xml:space="preserve">§ 3  </w:t>
      </w:r>
    </w:p>
    <w:p w14:paraId="14B5CCE8"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1D82ADE9" w14:textId="77777777" w:rsidR="008E6552" w:rsidRPr="008E6552" w:rsidRDefault="008E6552" w:rsidP="008E6552">
      <w:pPr>
        <w:numPr>
          <w:ilvl w:val="0"/>
          <w:numId w:val="22"/>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39569504"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99F9E55" w14:textId="77777777" w:rsidR="008E6552" w:rsidRPr="008E6552" w:rsidRDefault="008E6552" w:rsidP="008E6552">
      <w:pPr>
        <w:numPr>
          <w:ilvl w:val="0"/>
          <w:numId w:val="22"/>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0B8A0197" w14:textId="77777777" w:rsidR="008E6552" w:rsidRPr="008E6552" w:rsidRDefault="008E6552" w:rsidP="008E6552">
      <w:pPr>
        <w:tabs>
          <w:tab w:val="clear" w:pos="0"/>
          <w:tab w:val="clear" w:pos="284"/>
          <w:tab w:val="clear" w:pos="1701"/>
        </w:tabs>
        <w:suppressAutoHyphens/>
        <w:spacing w:after="200"/>
        <w:ind w:left="720"/>
        <w:rPr>
          <w:rFonts w:eastAsia="Arial Unicode MS"/>
          <w:kern w:val="1"/>
          <w:sz w:val="22"/>
          <w:szCs w:val="22"/>
          <w:lang w:eastAsia="ar-SA"/>
        </w:rPr>
      </w:pPr>
    </w:p>
    <w:p w14:paraId="486BC81C" w14:textId="77777777" w:rsidR="008E6552" w:rsidRPr="008E6552" w:rsidRDefault="008E6552" w:rsidP="008E6552">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69E8B43C"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1F574860"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728057E6" w14:textId="77777777" w:rsidR="008E6552" w:rsidRPr="008E6552" w:rsidRDefault="008E6552" w:rsidP="008E6552">
      <w:pPr>
        <w:numPr>
          <w:ilvl w:val="0"/>
          <w:numId w:val="41"/>
        </w:numPr>
        <w:tabs>
          <w:tab w:val="clear" w:pos="0"/>
          <w:tab w:val="clear" w:pos="284"/>
          <w:tab w:val="clear" w:pos="1701"/>
        </w:tabs>
        <w:spacing w:after="60"/>
        <w:ind w:left="993" w:hanging="284"/>
        <w:rPr>
          <w:sz w:val="22"/>
          <w:szCs w:val="22"/>
        </w:rPr>
      </w:pPr>
      <w:r w:rsidRPr="008E6552">
        <w:rPr>
          <w:sz w:val="22"/>
          <w:szCs w:val="22"/>
        </w:rPr>
        <w:t>Změny podstatné,</w:t>
      </w:r>
    </w:p>
    <w:p w14:paraId="40B90844" w14:textId="77777777" w:rsidR="008E6552" w:rsidRPr="008E6552" w:rsidRDefault="008E6552" w:rsidP="008E6552">
      <w:pPr>
        <w:numPr>
          <w:ilvl w:val="0"/>
          <w:numId w:val="41"/>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157F0055"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43C785F"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5EE2B6E4" w14:textId="77777777" w:rsidR="008E6552" w:rsidRPr="008E6552" w:rsidRDefault="008E6552" w:rsidP="008E6552">
      <w:pPr>
        <w:numPr>
          <w:ilvl w:val="0"/>
          <w:numId w:val="54"/>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3A8F35A0" w14:textId="77777777" w:rsidR="008E6552" w:rsidRPr="008E6552" w:rsidRDefault="008E6552" w:rsidP="008E6552">
      <w:pPr>
        <w:numPr>
          <w:ilvl w:val="0"/>
          <w:numId w:val="54"/>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23090B13" w14:textId="77777777" w:rsidR="008E6552" w:rsidRPr="008E6552" w:rsidRDefault="008E6552" w:rsidP="008E6552">
      <w:pPr>
        <w:numPr>
          <w:ilvl w:val="0"/>
          <w:numId w:val="47"/>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2CFAAA7A"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276AC43E" w14:textId="77777777" w:rsidR="008E6552" w:rsidRPr="008E6552" w:rsidRDefault="008E6552" w:rsidP="008E6552">
      <w:pPr>
        <w:numPr>
          <w:ilvl w:val="0"/>
          <w:numId w:val="47"/>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45F741A9" w14:textId="77777777" w:rsidR="008E6552" w:rsidRPr="008E6552" w:rsidRDefault="008E6552" w:rsidP="008E6552">
      <w:pPr>
        <w:numPr>
          <w:ilvl w:val="0"/>
          <w:numId w:val="47"/>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399EC0A5"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A514206" w14:textId="77777777" w:rsidR="008E6552" w:rsidRPr="008E6552" w:rsidRDefault="008E6552" w:rsidP="008E6552">
      <w:pPr>
        <w:numPr>
          <w:ilvl w:val="0"/>
          <w:numId w:val="47"/>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3A5EAFFB" w14:textId="77777777" w:rsidR="008E6552" w:rsidRPr="008E6552" w:rsidRDefault="008E6552" w:rsidP="008E6552">
      <w:pPr>
        <w:numPr>
          <w:ilvl w:val="0"/>
          <w:numId w:val="69"/>
        </w:numPr>
        <w:tabs>
          <w:tab w:val="clear" w:pos="0"/>
          <w:tab w:val="clear" w:pos="284"/>
          <w:tab w:val="clear" w:pos="1701"/>
        </w:tabs>
        <w:spacing w:after="200"/>
        <w:ind w:left="720"/>
        <w:rPr>
          <w:sz w:val="22"/>
          <w:szCs w:val="22"/>
        </w:rPr>
      </w:pPr>
    </w:p>
    <w:p w14:paraId="5D91F4D1"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5</w:t>
      </w:r>
    </w:p>
    <w:p w14:paraId="4369DE73" w14:textId="77777777" w:rsidR="008E6552" w:rsidRPr="008E6552" w:rsidRDefault="008E6552" w:rsidP="008E6552">
      <w:pPr>
        <w:tabs>
          <w:tab w:val="clear" w:pos="0"/>
          <w:tab w:val="clear" w:pos="284"/>
          <w:tab w:val="clear" w:pos="1701"/>
        </w:tabs>
        <w:spacing w:after="60"/>
        <w:ind w:left="1418"/>
        <w:jc w:val="center"/>
        <w:rPr>
          <w:sz w:val="22"/>
          <w:szCs w:val="22"/>
        </w:rPr>
      </w:pPr>
      <w:r w:rsidRPr="008E6552">
        <w:rPr>
          <w:b/>
          <w:sz w:val="22"/>
          <w:szCs w:val="22"/>
        </w:rPr>
        <w:t>Nepodstatné Změny</w:t>
      </w:r>
    </w:p>
    <w:p w14:paraId="4F87CA87" w14:textId="77777777" w:rsidR="008E6552" w:rsidRPr="008E6552" w:rsidRDefault="008E6552" w:rsidP="008E6552">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27717456"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4688D22C"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09F3AE0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6468771E"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16AEB0AA" w14:textId="77777777" w:rsidR="008E6552" w:rsidRPr="008E6552" w:rsidRDefault="008E6552" w:rsidP="008E6552">
      <w:pPr>
        <w:numPr>
          <w:ilvl w:val="0"/>
          <w:numId w:val="46"/>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14:paraId="46BC196A" w14:textId="77777777" w:rsidR="008E6552" w:rsidRPr="008E6552" w:rsidRDefault="008E6552" w:rsidP="008E6552">
      <w:pPr>
        <w:numPr>
          <w:ilvl w:val="0"/>
          <w:numId w:val="55"/>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927BF11" w14:textId="77777777" w:rsidR="008E6552" w:rsidRPr="008E6552" w:rsidRDefault="008E6552" w:rsidP="008E6552">
      <w:pPr>
        <w:tabs>
          <w:tab w:val="clear" w:pos="0"/>
          <w:tab w:val="clear" w:pos="284"/>
          <w:tab w:val="clear" w:pos="1701"/>
        </w:tabs>
        <w:ind w:left="357" w:hanging="357"/>
        <w:rPr>
          <w:sz w:val="22"/>
          <w:szCs w:val="22"/>
        </w:rPr>
      </w:pPr>
    </w:p>
    <w:p w14:paraId="44D9B48F" w14:textId="77777777" w:rsidR="008E6552" w:rsidRPr="008E6552" w:rsidRDefault="008E6552" w:rsidP="008E6552">
      <w:pPr>
        <w:tabs>
          <w:tab w:val="clear" w:pos="0"/>
          <w:tab w:val="clear" w:pos="284"/>
          <w:tab w:val="clear" w:pos="1701"/>
        </w:tabs>
        <w:ind w:left="357" w:hanging="357"/>
        <w:rPr>
          <w:sz w:val="22"/>
          <w:szCs w:val="22"/>
        </w:rPr>
      </w:pPr>
    </w:p>
    <w:p w14:paraId="6EF0B36E" w14:textId="77777777" w:rsidR="008E6552" w:rsidRPr="008E6552" w:rsidRDefault="008E6552" w:rsidP="008E6552">
      <w:pPr>
        <w:tabs>
          <w:tab w:val="clear" w:pos="0"/>
          <w:tab w:val="clear" w:pos="284"/>
          <w:tab w:val="clear" w:pos="1701"/>
        </w:tabs>
        <w:ind w:left="357" w:hanging="357"/>
        <w:rPr>
          <w:sz w:val="22"/>
          <w:szCs w:val="22"/>
        </w:rPr>
      </w:pPr>
    </w:p>
    <w:p w14:paraId="232068DE"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6</w:t>
      </w:r>
    </w:p>
    <w:p w14:paraId="2D63C153"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Řetězení Změn</w:t>
      </w:r>
    </w:p>
    <w:p w14:paraId="66FC5B3A"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7A44A43F" w14:textId="77777777" w:rsidR="008E6552" w:rsidRPr="008E6552" w:rsidRDefault="008E6552" w:rsidP="008E6552">
      <w:pPr>
        <w:numPr>
          <w:ilvl w:val="0"/>
          <w:numId w:val="60"/>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65DFF78" w14:textId="77777777" w:rsidR="008E6552" w:rsidRPr="008E6552" w:rsidRDefault="008E6552" w:rsidP="008E6552">
      <w:pPr>
        <w:tabs>
          <w:tab w:val="clear" w:pos="0"/>
          <w:tab w:val="clear" w:pos="284"/>
          <w:tab w:val="clear" w:pos="1701"/>
        </w:tabs>
        <w:ind w:left="357" w:hanging="357"/>
        <w:rPr>
          <w:sz w:val="22"/>
          <w:szCs w:val="22"/>
        </w:rPr>
      </w:pPr>
    </w:p>
    <w:p w14:paraId="4F1E7EBA" w14:textId="77777777" w:rsidR="008E6552" w:rsidRPr="008E6552" w:rsidRDefault="008E6552" w:rsidP="008E6552">
      <w:pPr>
        <w:tabs>
          <w:tab w:val="clear" w:pos="0"/>
          <w:tab w:val="clear" w:pos="284"/>
          <w:tab w:val="clear" w:pos="1701"/>
        </w:tabs>
        <w:spacing w:after="60"/>
        <w:ind w:left="360" w:hanging="360"/>
        <w:jc w:val="center"/>
        <w:rPr>
          <w:b/>
          <w:sz w:val="22"/>
          <w:szCs w:val="22"/>
        </w:rPr>
      </w:pPr>
      <w:r w:rsidRPr="008E6552">
        <w:rPr>
          <w:b/>
          <w:sz w:val="22"/>
          <w:szCs w:val="22"/>
        </w:rPr>
        <w:t>§ 7</w:t>
      </w:r>
    </w:p>
    <w:p w14:paraId="5FF08122" w14:textId="77777777" w:rsidR="008E6552" w:rsidRPr="008E6552" w:rsidRDefault="008E6552" w:rsidP="008E6552">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2896CDD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3C639ECD"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54CFF550" w14:textId="77777777" w:rsidR="008E6552" w:rsidRPr="008E6552" w:rsidRDefault="008E6552" w:rsidP="008E6552">
      <w:pPr>
        <w:numPr>
          <w:ilvl w:val="0"/>
          <w:numId w:val="25"/>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4902EBE8" w14:textId="77777777" w:rsidR="008E6552" w:rsidRPr="008E6552" w:rsidRDefault="008E6552" w:rsidP="008E6552">
      <w:pPr>
        <w:numPr>
          <w:ilvl w:val="0"/>
          <w:numId w:val="26"/>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10210810"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5E3F0D0D" w14:textId="77777777" w:rsidR="008E6552" w:rsidRPr="008E6552" w:rsidRDefault="008E6552" w:rsidP="008E6552">
      <w:pPr>
        <w:numPr>
          <w:ilvl w:val="0"/>
          <w:numId w:val="30"/>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33E49140" w14:textId="77777777" w:rsidR="008E6552" w:rsidRPr="008E6552" w:rsidRDefault="008E6552" w:rsidP="008E6552">
      <w:pPr>
        <w:numPr>
          <w:ilvl w:val="0"/>
          <w:numId w:val="26"/>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62A522CF"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743541E0" w14:textId="77777777" w:rsidR="008E6552" w:rsidRPr="008E6552" w:rsidRDefault="008E6552" w:rsidP="008E6552">
      <w:pPr>
        <w:numPr>
          <w:ilvl w:val="0"/>
          <w:numId w:val="51"/>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A2D370B" w14:textId="77777777" w:rsidR="008E6552" w:rsidRPr="008E6552" w:rsidRDefault="008E6552" w:rsidP="008E6552">
      <w:pPr>
        <w:numPr>
          <w:ilvl w:val="0"/>
          <w:numId w:val="51"/>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73A586D2"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03220B9"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E1E2B8E" w14:textId="77777777" w:rsidR="008E6552" w:rsidRPr="008E6552" w:rsidRDefault="008E6552" w:rsidP="008E6552">
      <w:pPr>
        <w:numPr>
          <w:ilvl w:val="0"/>
          <w:numId w:val="26"/>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3679B1F7" w14:textId="77777777" w:rsidR="008E6552" w:rsidRPr="008E6552" w:rsidRDefault="008E6552" w:rsidP="008E6552">
      <w:pPr>
        <w:tabs>
          <w:tab w:val="clear" w:pos="0"/>
          <w:tab w:val="clear" w:pos="284"/>
          <w:tab w:val="clear" w:pos="1701"/>
        </w:tabs>
        <w:spacing w:after="60"/>
        <w:jc w:val="center"/>
        <w:rPr>
          <w:b/>
          <w:sz w:val="22"/>
          <w:szCs w:val="22"/>
        </w:rPr>
      </w:pPr>
    </w:p>
    <w:p w14:paraId="75AD203A"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8</w:t>
      </w:r>
    </w:p>
    <w:p w14:paraId="0DBA4690"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Preliminářové položky</w:t>
      </w:r>
    </w:p>
    <w:p w14:paraId="3E31AE98" w14:textId="77777777" w:rsidR="008E6552" w:rsidRPr="008E6552" w:rsidRDefault="008E6552" w:rsidP="008E6552">
      <w:pPr>
        <w:numPr>
          <w:ilvl w:val="0"/>
          <w:numId w:val="27"/>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1303E479" w14:textId="77777777" w:rsidR="008E6552" w:rsidRPr="008E6552" w:rsidRDefault="008E6552" w:rsidP="008E6552">
      <w:pPr>
        <w:numPr>
          <w:ilvl w:val="0"/>
          <w:numId w:val="27"/>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760B4F9" w14:textId="77777777" w:rsidR="008E6552" w:rsidRPr="008E6552" w:rsidRDefault="008E6552" w:rsidP="008E6552">
      <w:pPr>
        <w:tabs>
          <w:tab w:val="clear" w:pos="0"/>
          <w:tab w:val="clear" w:pos="284"/>
          <w:tab w:val="clear" w:pos="1701"/>
        </w:tabs>
        <w:spacing w:after="60"/>
        <w:jc w:val="center"/>
        <w:rPr>
          <w:b/>
          <w:sz w:val="22"/>
          <w:szCs w:val="22"/>
        </w:rPr>
      </w:pPr>
    </w:p>
    <w:p w14:paraId="740B8514"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9</w:t>
      </w:r>
    </w:p>
    <w:p w14:paraId="78FD3B2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Záměna položek  - Skupina 2</w:t>
      </w:r>
    </w:p>
    <w:p w14:paraId="25D4821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648EBA17"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5285DE1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74A715F6"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4902823E" w14:textId="77777777" w:rsidR="008E6552" w:rsidRPr="008E6552" w:rsidRDefault="008E6552" w:rsidP="008E6552">
      <w:pPr>
        <w:numPr>
          <w:ilvl w:val="0"/>
          <w:numId w:val="29"/>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004B5261"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w:t>
      </w:r>
      <w:r w:rsidRPr="008E6552">
        <w:rPr>
          <w:rFonts w:eastAsia="MS Mincho"/>
          <w:sz w:val="22"/>
          <w:szCs w:val="22"/>
        </w:rPr>
        <w:lastRenderedPageBreak/>
        <w:t>záměně některé z cenově či jinak významných položek (např. určité technologické části plnění představující podstatnou část plnění veřejné zakázky).</w:t>
      </w:r>
    </w:p>
    <w:p w14:paraId="64A3FC26"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020D1E65" w14:textId="77777777" w:rsidR="008E6552" w:rsidRPr="008E6552" w:rsidRDefault="008E6552" w:rsidP="008E6552">
      <w:pPr>
        <w:numPr>
          <w:ilvl w:val="0"/>
          <w:numId w:val="6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4C53A95C"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40950FC2"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318A4E15" w14:textId="77777777" w:rsidR="008E6552" w:rsidRPr="008E6552" w:rsidRDefault="008E6552" w:rsidP="008E6552">
      <w:pPr>
        <w:numPr>
          <w:ilvl w:val="0"/>
          <w:numId w:val="61"/>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14:paraId="21E255D8" w14:textId="77777777" w:rsidR="008E6552" w:rsidRPr="008E6552" w:rsidRDefault="008E6552" w:rsidP="008E6552">
      <w:pPr>
        <w:numPr>
          <w:ilvl w:val="0"/>
          <w:numId w:val="6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03040D9F" w14:textId="77777777" w:rsidR="008E6552" w:rsidRPr="008E6552" w:rsidRDefault="008E6552" w:rsidP="008E6552">
      <w:pPr>
        <w:tabs>
          <w:tab w:val="clear" w:pos="0"/>
          <w:tab w:val="clear" w:pos="284"/>
          <w:tab w:val="clear" w:pos="1701"/>
        </w:tabs>
        <w:spacing w:after="60"/>
        <w:jc w:val="center"/>
        <w:rPr>
          <w:b/>
          <w:sz w:val="22"/>
          <w:szCs w:val="22"/>
        </w:rPr>
      </w:pPr>
    </w:p>
    <w:p w14:paraId="4D8B518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10</w:t>
      </w:r>
    </w:p>
    <w:p w14:paraId="74C437F5" w14:textId="77777777" w:rsidR="008E6552" w:rsidRPr="008E6552" w:rsidRDefault="008E6552" w:rsidP="008E6552">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26A3A98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6FAAFC00"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0D927E0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47FA3128"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643C981B" w14:textId="77777777" w:rsidR="008E6552" w:rsidRPr="008E6552" w:rsidRDefault="008E6552" w:rsidP="008E6552">
      <w:pPr>
        <w:numPr>
          <w:ilvl w:val="0"/>
          <w:numId w:val="48"/>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03A43614" w14:textId="77777777" w:rsidR="008E6552" w:rsidRPr="008E6552" w:rsidRDefault="008E6552" w:rsidP="008E6552">
      <w:pPr>
        <w:numPr>
          <w:ilvl w:val="0"/>
          <w:numId w:val="28"/>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4DBB50D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26183A91" w14:textId="77777777" w:rsidR="008E6552" w:rsidRPr="008E6552" w:rsidRDefault="008E6552" w:rsidP="008E655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0A8BA1F3" w14:textId="77777777" w:rsidR="008E6552" w:rsidRPr="008E6552" w:rsidRDefault="008E6552" w:rsidP="008E6552">
      <w:pPr>
        <w:numPr>
          <w:ilvl w:val="0"/>
          <w:numId w:val="45"/>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29D08F84" w14:textId="77777777" w:rsidR="008E6552" w:rsidRPr="008E6552" w:rsidRDefault="008E6552" w:rsidP="008E6552">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11E832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4A9B7FCF" w14:textId="77777777" w:rsidR="008E6552" w:rsidRPr="008E6552" w:rsidRDefault="008E6552" w:rsidP="008E6552">
      <w:pPr>
        <w:numPr>
          <w:ilvl w:val="0"/>
          <w:numId w:val="28"/>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4A830AF4" w14:textId="77777777" w:rsidR="008E6552" w:rsidRPr="008E6552" w:rsidRDefault="008E6552" w:rsidP="008E6552">
      <w:pPr>
        <w:numPr>
          <w:ilvl w:val="0"/>
          <w:numId w:val="28"/>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0481BEB" w14:textId="77777777" w:rsidR="008E6552" w:rsidRPr="008E6552" w:rsidRDefault="008E6552" w:rsidP="008E6552">
      <w:pPr>
        <w:numPr>
          <w:ilvl w:val="0"/>
          <w:numId w:val="28"/>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0963C1B8" w14:textId="77777777" w:rsidR="008E6552" w:rsidRPr="008E6552" w:rsidRDefault="008E6552" w:rsidP="008E6552">
      <w:pPr>
        <w:tabs>
          <w:tab w:val="clear" w:pos="0"/>
          <w:tab w:val="clear" w:pos="284"/>
          <w:tab w:val="clear" w:pos="1701"/>
        </w:tabs>
        <w:spacing w:after="60"/>
        <w:jc w:val="center"/>
        <w:rPr>
          <w:b/>
          <w:sz w:val="22"/>
          <w:szCs w:val="22"/>
        </w:rPr>
      </w:pPr>
    </w:p>
    <w:p w14:paraId="530B5DEC"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11</w:t>
      </w:r>
    </w:p>
    <w:p w14:paraId="761F1BC5"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22794A22"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221DADAE"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79CAFF2"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14:paraId="0116B88D" w14:textId="77777777" w:rsidR="008E6552" w:rsidRPr="008E6552" w:rsidRDefault="008E6552" w:rsidP="008E6552">
      <w:pPr>
        <w:numPr>
          <w:ilvl w:val="0"/>
          <w:numId w:val="3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FB2A055" w14:textId="77777777" w:rsidR="008E6552" w:rsidRPr="008E6552" w:rsidRDefault="008E6552" w:rsidP="008E6552">
      <w:pPr>
        <w:numPr>
          <w:ilvl w:val="0"/>
          <w:numId w:val="31"/>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62BDD60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27C917EC"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68A78DDA" w14:textId="77777777" w:rsidR="008E6552" w:rsidRPr="008E6552" w:rsidRDefault="008E6552" w:rsidP="008E6552">
      <w:pPr>
        <w:numPr>
          <w:ilvl w:val="0"/>
          <w:numId w:val="42"/>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7EF9CB38"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4FF61A2E" w14:textId="77777777" w:rsidR="008E6552" w:rsidRPr="008E6552" w:rsidRDefault="008E6552" w:rsidP="008E6552">
      <w:pPr>
        <w:numPr>
          <w:ilvl w:val="0"/>
          <w:numId w:val="31"/>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2F5733D9" w14:textId="77777777" w:rsidR="008E6552" w:rsidRPr="008E6552" w:rsidRDefault="008E6552" w:rsidP="008E6552">
      <w:pPr>
        <w:numPr>
          <w:ilvl w:val="0"/>
          <w:numId w:val="3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3F6CDD34" w14:textId="77777777" w:rsidR="008E6552" w:rsidRPr="008E6552" w:rsidRDefault="008E6552" w:rsidP="008E6552">
      <w:pPr>
        <w:numPr>
          <w:ilvl w:val="0"/>
          <w:numId w:val="31"/>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4E6EF7C5" w14:textId="77777777" w:rsidR="008E6552" w:rsidRPr="008E6552" w:rsidRDefault="008E6552" w:rsidP="008E6552">
      <w:pPr>
        <w:tabs>
          <w:tab w:val="clear" w:pos="0"/>
          <w:tab w:val="clear" w:pos="284"/>
          <w:tab w:val="clear" w:pos="1701"/>
        </w:tabs>
        <w:spacing w:after="60"/>
        <w:jc w:val="center"/>
        <w:rPr>
          <w:b/>
          <w:sz w:val="22"/>
          <w:szCs w:val="22"/>
        </w:rPr>
      </w:pPr>
    </w:p>
    <w:p w14:paraId="12241F47" w14:textId="77777777" w:rsidR="008E6552" w:rsidRPr="008E6552" w:rsidRDefault="008E6552" w:rsidP="008E6552">
      <w:pPr>
        <w:tabs>
          <w:tab w:val="clear" w:pos="0"/>
          <w:tab w:val="clear" w:pos="284"/>
          <w:tab w:val="clear" w:pos="1701"/>
        </w:tabs>
        <w:spacing w:after="60"/>
        <w:jc w:val="center"/>
        <w:rPr>
          <w:b/>
          <w:sz w:val="22"/>
          <w:szCs w:val="22"/>
        </w:rPr>
      </w:pPr>
    </w:p>
    <w:p w14:paraId="0ED0B10D" w14:textId="77777777" w:rsidR="008E6552" w:rsidRPr="008E6552" w:rsidRDefault="008E6552" w:rsidP="008E6552">
      <w:pPr>
        <w:tabs>
          <w:tab w:val="clear" w:pos="0"/>
          <w:tab w:val="clear" w:pos="284"/>
          <w:tab w:val="clear" w:pos="1701"/>
        </w:tabs>
        <w:spacing w:after="60"/>
        <w:jc w:val="center"/>
        <w:rPr>
          <w:b/>
          <w:sz w:val="22"/>
          <w:szCs w:val="22"/>
        </w:rPr>
      </w:pPr>
    </w:p>
    <w:p w14:paraId="7724F36C" w14:textId="77777777" w:rsidR="008E6552" w:rsidRPr="008E6552" w:rsidRDefault="008E6552" w:rsidP="008E6552">
      <w:pPr>
        <w:tabs>
          <w:tab w:val="clear" w:pos="0"/>
          <w:tab w:val="clear" w:pos="284"/>
          <w:tab w:val="clear" w:pos="1701"/>
        </w:tabs>
        <w:spacing w:after="60"/>
        <w:jc w:val="center"/>
        <w:rPr>
          <w:b/>
          <w:sz w:val="22"/>
          <w:szCs w:val="22"/>
        </w:rPr>
      </w:pPr>
    </w:p>
    <w:p w14:paraId="5F9B5CC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12</w:t>
      </w:r>
    </w:p>
    <w:p w14:paraId="664464A9" w14:textId="77777777" w:rsidR="008E6552" w:rsidRPr="008E6552" w:rsidRDefault="008E6552" w:rsidP="008E6552">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14:paraId="68D6A413" w14:textId="77777777" w:rsidR="008E6552" w:rsidRPr="008E6552" w:rsidRDefault="008E6552" w:rsidP="008E655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0D615056"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6953A824"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4966500F" w14:textId="77777777" w:rsidR="008E6552" w:rsidRPr="008E6552" w:rsidRDefault="008E6552" w:rsidP="008E655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51A2743"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14:paraId="0761310D" w14:textId="77777777" w:rsidR="008E6552" w:rsidRPr="008E6552" w:rsidRDefault="008E6552" w:rsidP="008E6552">
      <w:pPr>
        <w:numPr>
          <w:ilvl w:val="0"/>
          <w:numId w:val="33"/>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36A36F01" w14:textId="77777777" w:rsidR="008E6552" w:rsidRPr="008E6552" w:rsidRDefault="008E6552" w:rsidP="008E6552">
      <w:pPr>
        <w:numPr>
          <w:ilvl w:val="0"/>
          <w:numId w:val="33"/>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14:paraId="36E64471" w14:textId="77777777" w:rsidR="008E6552" w:rsidRPr="008E6552" w:rsidRDefault="008E6552" w:rsidP="008E655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3ADC7D0A" w14:textId="77777777" w:rsidR="008E6552" w:rsidRPr="008E6552" w:rsidRDefault="008E6552" w:rsidP="008E6552">
      <w:pPr>
        <w:tabs>
          <w:tab w:val="clear" w:pos="0"/>
          <w:tab w:val="clear" w:pos="284"/>
          <w:tab w:val="clear" w:pos="1701"/>
        </w:tabs>
        <w:spacing w:after="60"/>
        <w:jc w:val="center"/>
        <w:rPr>
          <w:b/>
          <w:sz w:val="22"/>
          <w:szCs w:val="22"/>
        </w:rPr>
      </w:pPr>
    </w:p>
    <w:p w14:paraId="37B5C83E"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13</w:t>
      </w:r>
    </w:p>
    <w:p w14:paraId="53CFC3AB" w14:textId="77777777" w:rsidR="008E6552" w:rsidRPr="008E6552" w:rsidRDefault="008E6552" w:rsidP="008E6552">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64926C75" w14:textId="77777777" w:rsidR="008E6552" w:rsidRPr="008E6552" w:rsidRDefault="008E6552" w:rsidP="008E6552">
      <w:pPr>
        <w:numPr>
          <w:ilvl w:val="0"/>
          <w:numId w:val="35"/>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6057AF93"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1EF789E6" w14:textId="77777777" w:rsidR="008E6552" w:rsidRPr="008E6552" w:rsidRDefault="008E6552" w:rsidP="008E6552">
      <w:pPr>
        <w:numPr>
          <w:ilvl w:val="0"/>
          <w:numId w:val="3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1971FAD3"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44B021F5" w14:textId="77777777" w:rsidR="008E6552" w:rsidRPr="008E6552" w:rsidRDefault="008E6552" w:rsidP="008E6552">
      <w:pPr>
        <w:numPr>
          <w:ilvl w:val="0"/>
          <w:numId w:val="35"/>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34137B69"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A7248F4"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3D65A25D"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7F12AEEF" w14:textId="77777777" w:rsidR="008E6552" w:rsidRPr="008E6552" w:rsidRDefault="008E6552" w:rsidP="008E6552">
      <w:pPr>
        <w:numPr>
          <w:ilvl w:val="0"/>
          <w:numId w:val="37"/>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14:paraId="0ACE0F4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1E2C9B11"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30459C37" w14:textId="77777777" w:rsidR="008E6552" w:rsidRPr="008E6552" w:rsidRDefault="008E6552" w:rsidP="008E6552">
      <w:pPr>
        <w:numPr>
          <w:ilvl w:val="0"/>
          <w:numId w:val="43"/>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986B6EE"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4024B735" w14:textId="77777777" w:rsidR="008E6552" w:rsidRPr="008E6552" w:rsidRDefault="008E6552" w:rsidP="008E6552">
      <w:pPr>
        <w:numPr>
          <w:ilvl w:val="0"/>
          <w:numId w:val="43"/>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5B9531B6"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05A0FB92"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0BDFCB76"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238D22EB" w14:textId="77777777" w:rsidR="008E6552" w:rsidRPr="008E6552" w:rsidRDefault="008E6552" w:rsidP="008E6552">
      <w:pPr>
        <w:numPr>
          <w:ilvl w:val="0"/>
          <w:numId w:val="44"/>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w:t>
      </w:r>
      <w:r w:rsidRPr="008E6552">
        <w:rPr>
          <w:sz w:val="22"/>
          <w:szCs w:val="22"/>
          <w:lang w:eastAsia="en-US"/>
        </w:rPr>
        <w:lastRenderedPageBreak/>
        <w:t xml:space="preserve">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78815BEC" w14:textId="77777777" w:rsidR="008E6552" w:rsidRPr="008E6552" w:rsidRDefault="008E6552" w:rsidP="008E6552">
      <w:pPr>
        <w:numPr>
          <w:ilvl w:val="0"/>
          <w:numId w:val="38"/>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15B062AD" w14:textId="77777777" w:rsidR="008E6552" w:rsidRPr="008E6552" w:rsidRDefault="008E6552" w:rsidP="008E6552">
      <w:pPr>
        <w:tabs>
          <w:tab w:val="clear" w:pos="0"/>
          <w:tab w:val="clear" w:pos="284"/>
          <w:tab w:val="clear" w:pos="1701"/>
        </w:tabs>
        <w:suppressAutoHyphens/>
        <w:spacing w:after="200"/>
        <w:rPr>
          <w:color w:val="0000FF"/>
          <w:kern w:val="22"/>
          <w:sz w:val="22"/>
          <w:szCs w:val="22"/>
          <w:u w:val="double"/>
        </w:rPr>
      </w:pPr>
    </w:p>
    <w:p w14:paraId="2AC636BA" w14:textId="77777777" w:rsidR="008E6552" w:rsidRPr="008E6552" w:rsidRDefault="008E6552" w:rsidP="008E6552">
      <w:pPr>
        <w:tabs>
          <w:tab w:val="clear" w:pos="0"/>
          <w:tab w:val="clear" w:pos="284"/>
          <w:tab w:val="clear" w:pos="1701"/>
        </w:tabs>
        <w:jc w:val="center"/>
        <w:rPr>
          <w:b/>
          <w:sz w:val="22"/>
          <w:szCs w:val="22"/>
        </w:rPr>
      </w:pPr>
      <w:r w:rsidRPr="008E6552">
        <w:rPr>
          <w:b/>
          <w:sz w:val="22"/>
          <w:szCs w:val="22"/>
        </w:rPr>
        <w:t>§ 14</w:t>
      </w:r>
    </w:p>
    <w:p w14:paraId="112E5A09" w14:textId="77777777" w:rsidR="008E6552" w:rsidRPr="008E6552" w:rsidRDefault="008E6552" w:rsidP="008E6552">
      <w:pPr>
        <w:numPr>
          <w:ilvl w:val="0"/>
          <w:numId w:val="69"/>
        </w:numPr>
        <w:tabs>
          <w:tab w:val="clear" w:pos="0"/>
          <w:tab w:val="clear" w:pos="284"/>
          <w:tab w:val="clear" w:pos="1701"/>
        </w:tabs>
        <w:spacing w:after="200"/>
        <w:jc w:val="center"/>
        <w:rPr>
          <w:b/>
          <w:sz w:val="22"/>
          <w:szCs w:val="22"/>
        </w:rPr>
      </w:pPr>
      <w:r w:rsidRPr="008E6552">
        <w:rPr>
          <w:b/>
          <w:sz w:val="22"/>
          <w:szCs w:val="22"/>
        </w:rPr>
        <w:t>Změny záporné</w:t>
      </w:r>
    </w:p>
    <w:p w14:paraId="3A40C44A"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61B72D7D"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4B58EFBF"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2DF25C56" w14:textId="77777777" w:rsidR="008E6552" w:rsidRPr="008E6552" w:rsidRDefault="008E6552" w:rsidP="008E6552">
      <w:pPr>
        <w:numPr>
          <w:ilvl w:val="0"/>
          <w:numId w:val="56"/>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45CD22F0"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69C226E7" w14:textId="77777777" w:rsidR="008E6552" w:rsidRPr="008E6552" w:rsidRDefault="008E6552" w:rsidP="008E6552">
      <w:pPr>
        <w:numPr>
          <w:ilvl w:val="0"/>
          <w:numId w:val="50"/>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585B6454"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14:paraId="4524C062" w14:textId="77777777" w:rsidR="008E6552" w:rsidRPr="008E6552" w:rsidRDefault="008E6552" w:rsidP="008E6552">
      <w:pPr>
        <w:numPr>
          <w:ilvl w:val="0"/>
          <w:numId w:val="50"/>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14:paraId="2DF54F96"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36FAFB1E" w14:textId="77777777" w:rsidR="008E6552" w:rsidRPr="008E6552" w:rsidRDefault="008E6552" w:rsidP="008E6552">
      <w:pPr>
        <w:numPr>
          <w:ilvl w:val="1"/>
          <w:numId w:val="2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55808EA1"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w:t>
      </w:r>
      <w:r w:rsidRPr="008E6552">
        <w:rPr>
          <w:rFonts w:eastAsia="Arial Unicode MS"/>
          <w:kern w:val="1"/>
          <w:sz w:val="22"/>
          <w:szCs w:val="22"/>
          <w:lang w:eastAsia="ar-SA"/>
        </w:rPr>
        <w:lastRenderedPageBreak/>
        <w:t xml:space="preserve">záporných na podkladě odborného právního a technického vyjádření, které si za tím účelem nechá zpracovat. </w:t>
      </w:r>
    </w:p>
    <w:p w14:paraId="3FECA36F"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7446B735"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57EF5CF2" w14:textId="77777777" w:rsidR="008E6552" w:rsidRPr="008E6552" w:rsidRDefault="008E6552" w:rsidP="008E6552">
      <w:pPr>
        <w:numPr>
          <w:ilvl w:val="0"/>
          <w:numId w:val="5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14CD90F3" w14:textId="77777777" w:rsidR="008E6552" w:rsidRPr="008E6552" w:rsidRDefault="008E6552" w:rsidP="008E6552">
      <w:pPr>
        <w:tabs>
          <w:tab w:val="clear" w:pos="0"/>
          <w:tab w:val="clear" w:pos="284"/>
          <w:tab w:val="clear" w:pos="1701"/>
        </w:tabs>
        <w:suppressAutoHyphens/>
        <w:spacing w:after="200"/>
        <w:ind w:left="714"/>
        <w:rPr>
          <w:rFonts w:eastAsia="Arial Unicode MS"/>
          <w:kern w:val="1"/>
          <w:sz w:val="22"/>
          <w:szCs w:val="22"/>
          <w:lang w:eastAsia="ar-SA"/>
        </w:rPr>
      </w:pPr>
    </w:p>
    <w:p w14:paraId="2D3E765F"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504FE7E9"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p>
    <w:p w14:paraId="2480C7D6" w14:textId="77777777" w:rsidR="008E6552" w:rsidRPr="008E6552" w:rsidRDefault="008E6552" w:rsidP="008E6552">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7B7F2FAF"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59554FB3"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38DF5B12" w14:textId="77777777" w:rsidR="008E6552" w:rsidRPr="008E6552" w:rsidRDefault="008E6552" w:rsidP="008E6552">
      <w:pPr>
        <w:numPr>
          <w:ilvl w:val="0"/>
          <w:numId w:val="53"/>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6BB5A198" w14:textId="77777777" w:rsidR="008E6552" w:rsidRPr="008E6552" w:rsidRDefault="008E6552" w:rsidP="008E6552">
      <w:pPr>
        <w:numPr>
          <w:ilvl w:val="0"/>
          <w:numId w:val="53"/>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2053F2D" w14:textId="77777777" w:rsidR="008E6552" w:rsidRPr="008E6552" w:rsidRDefault="008E6552" w:rsidP="008E6552">
      <w:pPr>
        <w:numPr>
          <w:ilvl w:val="0"/>
          <w:numId w:val="52"/>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0E557E0A" w14:textId="77777777" w:rsidR="008E6552" w:rsidRPr="008E6552" w:rsidRDefault="008E6552" w:rsidP="008E6552">
      <w:pPr>
        <w:tabs>
          <w:tab w:val="clear" w:pos="0"/>
          <w:tab w:val="clear" w:pos="284"/>
          <w:tab w:val="clear" w:pos="1701"/>
        </w:tabs>
        <w:spacing w:after="60"/>
        <w:jc w:val="center"/>
        <w:rPr>
          <w:b/>
          <w:sz w:val="22"/>
          <w:szCs w:val="22"/>
        </w:rPr>
      </w:pPr>
    </w:p>
    <w:p w14:paraId="00D0ED33" w14:textId="77777777" w:rsidR="008E6552" w:rsidRPr="008E6552" w:rsidRDefault="008E6552" w:rsidP="008E6552">
      <w:pPr>
        <w:tabs>
          <w:tab w:val="clear" w:pos="0"/>
          <w:tab w:val="clear" w:pos="284"/>
          <w:tab w:val="clear" w:pos="1701"/>
        </w:tabs>
        <w:spacing w:after="60"/>
        <w:jc w:val="center"/>
        <w:rPr>
          <w:b/>
          <w:sz w:val="22"/>
          <w:szCs w:val="22"/>
        </w:rPr>
      </w:pPr>
    </w:p>
    <w:p w14:paraId="6A286D67"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16</w:t>
      </w:r>
    </w:p>
    <w:p w14:paraId="2BFA0B3F" w14:textId="77777777" w:rsidR="008E6552" w:rsidRPr="008E6552" w:rsidRDefault="008E6552" w:rsidP="008E6552">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14:paraId="328E345F"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147BFB1A" w14:textId="77777777" w:rsidR="008E6552" w:rsidRPr="008E6552" w:rsidRDefault="008E6552" w:rsidP="008E6552">
      <w:pPr>
        <w:numPr>
          <w:ilvl w:val="0"/>
          <w:numId w:val="40"/>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35CDF1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4CE6B272"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49589176" w14:textId="77777777" w:rsidR="008E6552" w:rsidRPr="008E6552" w:rsidRDefault="008E6552" w:rsidP="008E6552">
      <w:pPr>
        <w:numPr>
          <w:ilvl w:val="0"/>
          <w:numId w:val="40"/>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5D131BC"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256DD948" w14:textId="77777777" w:rsidR="008E6552" w:rsidRPr="008E6552" w:rsidRDefault="008E6552" w:rsidP="008E6552">
      <w:pPr>
        <w:numPr>
          <w:ilvl w:val="0"/>
          <w:numId w:val="40"/>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02356CC9" w14:textId="77777777" w:rsidR="008E6552" w:rsidRPr="008E6552" w:rsidRDefault="008E6552" w:rsidP="008E6552">
      <w:pPr>
        <w:numPr>
          <w:ilvl w:val="0"/>
          <w:numId w:val="39"/>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569B1563"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p>
    <w:p w14:paraId="169063EA"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3C55D689" w14:textId="77777777" w:rsidR="008E6552" w:rsidRPr="008E6552" w:rsidRDefault="008E6552" w:rsidP="008E6552">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44140708" w14:textId="77777777" w:rsidR="008E6552" w:rsidRPr="008E6552" w:rsidRDefault="008E6552" w:rsidP="008E6552">
      <w:pPr>
        <w:numPr>
          <w:ilvl w:val="0"/>
          <w:numId w:val="68"/>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4F5E9FC3"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7C23DE38"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0710F725"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30E5F007"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00360F1E" w14:textId="77777777" w:rsidR="008E6552" w:rsidRPr="008E6552" w:rsidRDefault="008E6552" w:rsidP="008E6552">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14:paraId="34EEABD2"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14:paraId="43425A6D"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14:paraId="6393E63B"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3BF44F15"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14:paraId="268AB6D1" w14:textId="77777777" w:rsidR="008E6552" w:rsidRPr="008E6552" w:rsidRDefault="008E6552" w:rsidP="008E6552">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32942FC4" w14:textId="77777777" w:rsidR="008E6552" w:rsidRPr="008E6552" w:rsidRDefault="008E6552" w:rsidP="008E6552">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79F942BF" w14:textId="77777777" w:rsidR="008E6552" w:rsidRPr="008E6552" w:rsidRDefault="008E6552" w:rsidP="008E6552">
      <w:pPr>
        <w:numPr>
          <w:ilvl w:val="0"/>
          <w:numId w:val="68"/>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6A82A3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0CF1638"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1394366B"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37F852B4"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4C89A732"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57E000E7"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478F92A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69FA10B8"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14:paraId="39604CF1"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14:paraId="3E749B2F"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14:paraId="1A72278D"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28641F05" w14:textId="77777777" w:rsidR="008E6552" w:rsidRPr="008E6552" w:rsidRDefault="008E6552" w:rsidP="008E6552">
      <w:pPr>
        <w:numPr>
          <w:ilvl w:val="3"/>
          <w:numId w:val="62"/>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2406D1A5" w14:textId="77777777" w:rsidR="008E6552" w:rsidRPr="008E6552" w:rsidRDefault="008E6552" w:rsidP="008E6552">
      <w:pPr>
        <w:numPr>
          <w:ilvl w:val="3"/>
          <w:numId w:val="62"/>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34A55DB7" w14:textId="77777777" w:rsidR="008E6552" w:rsidRPr="008E6552" w:rsidRDefault="008E6552" w:rsidP="008E6552">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470906DA" w14:textId="77777777" w:rsidR="008E6552" w:rsidRPr="008E6552" w:rsidRDefault="008E6552" w:rsidP="008E6552">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4058BD13" w14:textId="77777777" w:rsidR="008E6552" w:rsidRPr="008E6552" w:rsidRDefault="008E6552" w:rsidP="008E6552">
      <w:pPr>
        <w:tabs>
          <w:tab w:val="clear" w:pos="0"/>
          <w:tab w:val="clear" w:pos="284"/>
          <w:tab w:val="clear" w:pos="1701"/>
        </w:tabs>
        <w:suppressAutoHyphens/>
        <w:ind w:left="720" w:hanging="294"/>
        <w:jc w:val="left"/>
        <w:rPr>
          <w:rFonts w:eastAsia="Arial Unicode MS"/>
          <w:kern w:val="1"/>
          <w:sz w:val="22"/>
          <w:szCs w:val="22"/>
          <w:lang w:eastAsia="ar-SA"/>
        </w:rPr>
      </w:pPr>
    </w:p>
    <w:p w14:paraId="275A609D" w14:textId="77777777" w:rsidR="008E6552" w:rsidRPr="008E6552" w:rsidRDefault="008E6552" w:rsidP="008E6552">
      <w:pPr>
        <w:numPr>
          <w:ilvl w:val="0"/>
          <w:numId w:val="67"/>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5139314A" w14:textId="77777777" w:rsidR="008E6552" w:rsidRPr="008E6552" w:rsidRDefault="008E6552" w:rsidP="008E6552">
      <w:pPr>
        <w:numPr>
          <w:ilvl w:val="0"/>
          <w:numId w:val="67"/>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14:paraId="1A24BDF3"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p>
    <w:p w14:paraId="0E97D37F"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14:paraId="719955CC" w14:textId="77777777" w:rsidR="008E6552" w:rsidRPr="008E6552" w:rsidRDefault="008E6552" w:rsidP="008E6552">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227D68D3"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14:paraId="402B27EA"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52A71DDD"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703189A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377B2B8E"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0B42B68A"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19617858"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4B5281E3"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374DCAF7"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3E7035FB" w14:textId="77777777" w:rsidR="008E6552" w:rsidRPr="008E6552" w:rsidRDefault="008E6552" w:rsidP="008E6552">
      <w:pPr>
        <w:numPr>
          <w:ilvl w:val="1"/>
          <w:numId w:val="63"/>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71D3A643" w14:textId="77777777" w:rsidR="008E6552" w:rsidRPr="008E6552" w:rsidRDefault="008E6552" w:rsidP="008E6552">
      <w:pPr>
        <w:tabs>
          <w:tab w:val="clear" w:pos="0"/>
          <w:tab w:val="clear" w:pos="284"/>
          <w:tab w:val="clear" w:pos="1701"/>
        </w:tabs>
        <w:suppressAutoHyphens/>
        <w:ind w:left="720"/>
        <w:rPr>
          <w:rFonts w:eastAsia="Arial Unicode MS"/>
          <w:kern w:val="1"/>
          <w:sz w:val="22"/>
          <w:szCs w:val="22"/>
          <w:lang w:eastAsia="ar-SA"/>
        </w:rPr>
      </w:pPr>
    </w:p>
    <w:p w14:paraId="5F9E4E80"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14:paraId="57366F92" w14:textId="77777777" w:rsidR="008E6552" w:rsidRPr="008E6552" w:rsidRDefault="008E6552" w:rsidP="008E6552">
      <w:pPr>
        <w:numPr>
          <w:ilvl w:val="0"/>
          <w:numId w:val="64"/>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5E632388"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1C56FD0A" w14:textId="77777777" w:rsidR="008E6552" w:rsidRPr="008E6552" w:rsidRDefault="008E6552" w:rsidP="008E6552">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503619EF"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468DD398" w14:textId="77777777" w:rsidR="008E6552" w:rsidRPr="008E6552" w:rsidRDefault="008E6552" w:rsidP="008E6552">
      <w:pPr>
        <w:numPr>
          <w:ilvl w:val="1"/>
          <w:numId w:val="6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49FB4C07"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48A09244" w14:textId="77777777" w:rsidR="008E6552" w:rsidRPr="008E6552" w:rsidRDefault="008E6552" w:rsidP="008E6552">
      <w:pPr>
        <w:numPr>
          <w:ilvl w:val="0"/>
          <w:numId w:val="66"/>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w:t>
      </w:r>
      <w:r w:rsidRPr="008E6552">
        <w:rPr>
          <w:rFonts w:eastAsia="Arial Unicode MS"/>
          <w:kern w:val="1"/>
          <w:sz w:val="22"/>
          <w:szCs w:val="22"/>
          <w:lang w:eastAsia="ar-SA"/>
        </w:rPr>
        <w:lastRenderedPageBreak/>
        <w:t xml:space="preserve">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53181FDB"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5F8AF6A3" w14:textId="77777777" w:rsidR="008E6552" w:rsidRPr="008E6552" w:rsidRDefault="008E6552" w:rsidP="008E6552">
      <w:pPr>
        <w:numPr>
          <w:ilvl w:val="0"/>
          <w:numId w:val="66"/>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7124C27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p>
    <w:p w14:paraId="2A4688EF" w14:textId="77777777" w:rsidR="008E6552" w:rsidRPr="008E6552" w:rsidRDefault="008E6552" w:rsidP="008E6552">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6F0009F8" w14:textId="77777777" w:rsidR="008E6552" w:rsidRPr="008E6552" w:rsidRDefault="008E6552" w:rsidP="008E6552">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6F8B646E" w14:textId="77777777" w:rsidR="008E6552" w:rsidRPr="008E6552" w:rsidRDefault="008E6552" w:rsidP="008E6552">
      <w:pPr>
        <w:numPr>
          <w:ilvl w:val="0"/>
          <w:numId w:val="59"/>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5198BB2F" w14:textId="77777777" w:rsidR="008E6552" w:rsidRPr="008E6552" w:rsidRDefault="008E6552" w:rsidP="008E6552">
      <w:pPr>
        <w:tabs>
          <w:tab w:val="clear" w:pos="0"/>
          <w:tab w:val="clear" w:pos="284"/>
          <w:tab w:val="clear" w:pos="1701"/>
        </w:tabs>
        <w:spacing w:after="60"/>
        <w:rPr>
          <w:b/>
          <w:sz w:val="22"/>
          <w:szCs w:val="22"/>
        </w:rPr>
      </w:pPr>
    </w:p>
    <w:p w14:paraId="6B51D137"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 22</w:t>
      </w:r>
    </w:p>
    <w:p w14:paraId="3CD40E56" w14:textId="77777777" w:rsidR="008E6552" w:rsidRPr="008E6552" w:rsidRDefault="008E6552" w:rsidP="008E6552">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2E36CDB0"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077DA79E" w14:textId="77777777" w:rsidR="008E6552" w:rsidRPr="008E6552" w:rsidRDefault="008E6552" w:rsidP="008E6552">
      <w:pPr>
        <w:numPr>
          <w:ilvl w:val="0"/>
          <w:numId w:val="57"/>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A94013B" w14:textId="77777777" w:rsidR="008E6552" w:rsidRPr="008E6552" w:rsidRDefault="008E6552" w:rsidP="008E6552">
      <w:pPr>
        <w:tabs>
          <w:tab w:val="clear" w:pos="0"/>
          <w:tab w:val="clear" w:pos="284"/>
          <w:tab w:val="clear" w:pos="1701"/>
        </w:tabs>
        <w:spacing w:after="60"/>
        <w:jc w:val="left"/>
        <w:rPr>
          <w:b/>
          <w:sz w:val="22"/>
          <w:szCs w:val="22"/>
        </w:rPr>
      </w:pPr>
    </w:p>
    <w:p w14:paraId="1B00346A" w14:textId="77777777" w:rsidR="008E6552" w:rsidRPr="008E6552" w:rsidRDefault="008E6552" w:rsidP="008E6552">
      <w:pPr>
        <w:tabs>
          <w:tab w:val="clear" w:pos="0"/>
          <w:tab w:val="clear" w:pos="284"/>
          <w:tab w:val="clear" w:pos="1701"/>
        </w:tabs>
        <w:spacing w:after="60"/>
        <w:ind w:left="720"/>
        <w:jc w:val="center"/>
        <w:rPr>
          <w:b/>
          <w:sz w:val="22"/>
          <w:szCs w:val="22"/>
        </w:rPr>
      </w:pPr>
      <w:r w:rsidRPr="008E6552">
        <w:rPr>
          <w:b/>
          <w:sz w:val="22"/>
          <w:szCs w:val="22"/>
        </w:rPr>
        <w:t>§ 23</w:t>
      </w:r>
    </w:p>
    <w:p w14:paraId="71E78346" w14:textId="77777777" w:rsidR="008E6552" w:rsidRPr="008E6552" w:rsidRDefault="008E6552" w:rsidP="008E6552">
      <w:pPr>
        <w:tabs>
          <w:tab w:val="clear" w:pos="0"/>
          <w:tab w:val="clear" w:pos="284"/>
          <w:tab w:val="clear" w:pos="1701"/>
        </w:tabs>
        <w:spacing w:after="200"/>
        <w:ind w:left="720"/>
        <w:jc w:val="center"/>
        <w:rPr>
          <w:b/>
          <w:sz w:val="22"/>
          <w:szCs w:val="22"/>
        </w:rPr>
      </w:pPr>
      <w:r w:rsidRPr="008E6552">
        <w:rPr>
          <w:b/>
          <w:sz w:val="22"/>
          <w:szCs w:val="22"/>
        </w:rPr>
        <w:t>Účinnost</w:t>
      </w:r>
    </w:p>
    <w:p w14:paraId="59A3FA2E"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02C1AA54" w14:textId="77777777" w:rsidR="008E6552" w:rsidRPr="008E6552" w:rsidRDefault="008E6552" w:rsidP="008E6552">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lastRenderedPageBreak/>
        <w:t>Seznam příloh</w:t>
      </w:r>
    </w:p>
    <w:p w14:paraId="5AB01668"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Krycí list ZBV</w:t>
      </w:r>
    </w:p>
    <w:p w14:paraId="30586EF9"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Změnový list pro Změny Skupiny 1-5</w:t>
      </w:r>
    </w:p>
    <w:p w14:paraId="4BA6131C"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3D37EC0B"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Rozpis ocenění změn položek</w:t>
      </w:r>
    </w:p>
    <w:p w14:paraId="256737CA"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zařazení změn do skupin</w:t>
      </w:r>
    </w:p>
    <w:p w14:paraId="03D41967" w14:textId="77777777" w:rsidR="008E6552" w:rsidRPr="008E6552" w:rsidRDefault="008E6552" w:rsidP="008E6552">
      <w:pPr>
        <w:numPr>
          <w:ilvl w:val="3"/>
          <w:numId w:val="59"/>
        </w:numPr>
        <w:tabs>
          <w:tab w:val="clear" w:pos="0"/>
          <w:tab w:val="clear" w:pos="284"/>
          <w:tab w:val="clear" w:pos="1701"/>
        </w:tabs>
        <w:spacing w:after="200"/>
        <w:rPr>
          <w:kern w:val="22"/>
          <w:sz w:val="22"/>
          <w:szCs w:val="22"/>
        </w:rPr>
      </w:pPr>
      <w:r w:rsidRPr="008E6552">
        <w:rPr>
          <w:szCs w:val="24"/>
        </w:rPr>
        <w:t>Přehled dalších dokladů</w:t>
      </w:r>
    </w:p>
    <w:p w14:paraId="7ADF2FCC" w14:textId="77777777" w:rsidR="008E6552" w:rsidRPr="008E6552" w:rsidRDefault="008E6552" w:rsidP="008E6552">
      <w:pPr>
        <w:tabs>
          <w:tab w:val="clear" w:pos="0"/>
          <w:tab w:val="clear" w:pos="284"/>
          <w:tab w:val="clear" w:pos="1701"/>
        </w:tabs>
        <w:spacing w:after="60"/>
        <w:ind w:left="426"/>
        <w:rPr>
          <w:sz w:val="22"/>
          <w:szCs w:val="22"/>
        </w:rPr>
      </w:pPr>
    </w:p>
    <w:p w14:paraId="5F39ABD4" w14:textId="77777777" w:rsidR="008E6552" w:rsidRPr="008E6552" w:rsidRDefault="008E6552" w:rsidP="008E6552">
      <w:pPr>
        <w:tabs>
          <w:tab w:val="clear" w:pos="0"/>
          <w:tab w:val="clear" w:pos="284"/>
          <w:tab w:val="clear" w:pos="1701"/>
        </w:tabs>
        <w:spacing w:after="60"/>
        <w:ind w:left="426"/>
        <w:rPr>
          <w:sz w:val="22"/>
          <w:szCs w:val="22"/>
        </w:rPr>
      </w:pPr>
    </w:p>
    <w:p w14:paraId="4281D4A2" w14:textId="77777777" w:rsidR="008E6552" w:rsidRPr="008E6552" w:rsidRDefault="008E6552" w:rsidP="008E6552">
      <w:pPr>
        <w:tabs>
          <w:tab w:val="clear" w:pos="0"/>
          <w:tab w:val="clear" w:pos="284"/>
          <w:tab w:val="clear" w:pos="1701"/>
        </w:tabs>
        <w:spacing w:after="60"/>
        <w:ind w:left="426"/>
        <w:rPr>
          <w:sz w:val="22"/>
          <w:szCs w:val="22"/>
        </w:rPr>
      </w:pPr>
    </w:p>
    <w:p w14:paraId="09C724EB" w14:textId="77777777" w:rsidR="008E6552" w:rsidRPr="008E6552" w:rsidRDefault="008E6552" w:rsidP="008E6552">
      <w:pPr>
        <w:numPr>
          <w:ilvl w:val="0"/>
          <w:numId w:val="58"/>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14:paraId="37E00B96" w14:textId="77777777" w:rsidR="008E6552" w:rsidRPr="008E6552" w:rsidRDefault="008E6552" w:rsidP="008E6552">
      <w:pPr>
        <w:tabs>
          <w:tab w:val="clear" w:pos="0"/>
          <w:tab w:val="clear" w:pos="284"/>
          <w:tab w:val="clear" w:pos="1701"/>
        </w:tabs>
        <w:spacing w:after="60"/>
        <w:ind w:left="709"/>
        <w:rPr>
          <w:sz w:val="22"/>
          <w:szCs w:val="22"/>
        </w:rPr>
      </w:pPr>
    </w:p>
    <w:p w14:paraId="29294685" w14:textId="77777777" w:rsidR="008E6552" w:rsidRPr="008E6552" w:rsidRDefault="008E6552" w:rsidP="008E6552">
      <w:pPr>
        <w:tabs>
          <w:tab w:val="clear" w:pos="0"/>
          <w:tab w:val="clear" w:pos="284"/>
          <w:tab w:val="clear" w:pos="1701"/>
        </w:tabs>
        <w:spacing w:after="60"/>
        <w:ind w:left="1418"/>
        <w:rPr>
          <w:sz w:val="22"/>
          <w:szCs w:val="22"/>
        </w:rPr>
      </w:pPr>
    </w:p>
    <w:p w14:paraId="2F832BAB" w14:textId="77777777" w:rsidR="008E6552" w:rsidRPr="008E6552" w:rsidRDefault="008E6552" w:rsidP="008E6552">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14:paraId="562F004F"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w:t>
      </w:r>
    </w:p>
    <w:p w14:paraId="642BB196"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Bc. Zdeněk Dvořák</w:t>
      </w:r>
    </w:p>
    <w:p w14:paraId="7B48ADFE" w14:textId="77777777" w:rsidR="008E6552" w:rsidRPr="008E6552" w:rsidRDefault="008E6552" w:rsidP="008E6552">
      <w:pPr>
        <w:tabs>
          <w:tab w:val="clear" w:pos="0"/>
          <w:tab w:val="clear" w:pos="284"/>
          <w:tab w:val="clear" w:pos="1701"/>
        </w:tabs>
        <w:spacing w:after="60"/>
        <w:ind w:left="5103"/>
        <w:jc w:val="center"/>
        <w:rPr>
          <w:sz w:val="22"/>
          <w:szCs w:val="22"/>
        </w:rPr>
      </w:pPr>
      <w:r w:rsidRPr="008E6552">
        <w:rPr>
          <w:sz w:val="22"/>
          <w:szCs w:val="22"/>
        </w:rPr>
        <w:t>ředitel</w:t>
      </w:r>
    </w:p>
    <w:p w14:paraId="2E47D5B2"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4DDE136" w14:textId="77777777" w:rsidR="008E6552" w:rsidRPr="008E6552" w:rsidRDefault="008E6552" w:rsidP="008E6552">
      <w:pPr>
        <w:tabs>
          <w:tab w:val="clear" w:pos="0"/>
          <w:tab w:val="clear" w:pos="284"/>
          <w:tab w:val="clear" w:pos="1701"/>
        </w:tabs>
        <w:spacing w:after="200"/>
        <w:ind w:left="1418"/>
        <w:rPr>
          <w:b/>
          <w:color w:val="0000FF"/>
          <w:kern w:val="22"/>
          <w:sz w:val="22"/>
          <w:szCs w:val="22"/>
          <w:u w:val="double"/>
        </w:rPr>
      </w:pPr>
    </w:p>
    <w:p w14:paraId="1F159C67" w14:textId="77777777" w:rsidR="008E6552" w:rsidRPr="008E6552" w:rsidRDefault="008E6552" w:rsidP="008E6552">
      <w:pPr>
        <w:tabs>
          <w:tab w:val="clear" w:pos="0"/>
          <w:tab w:val="clear" w:pos="284"/>
          <w:tab w:val="clear" w:pos="1701"/>
        </w:tabs>
        <w:rPr>
          <w:rFonts w:ascii="OfficinaSanItcTEE" w:hAnsi="OfficinaSanItcTEE"/>
          <w:b/>
          <w:szCs w:val="24"/>
        </w:rPr>
      </w:pPr>
    </w:p>
    <w:p w14:paraId="1B1DCF59" w14:textId="77777777" w:rsidR="008E6552" w:rsidRPr="008E6552" w:rsidRDefault="008E6552" w:rsidP="008E6552">
      <w:pPr>
        <w:tabs>
          <w:tab w:val="clear" w:pos="0"/>
          <w:tab w:val="clear" w:pos="284"/>
          <w:tab w:val="clear" w:pos="1701"/>
        </w:tabs>
        <w:rPr>
          <w:rFonts w:ascii="OfficinaSanItcTEE" w:hAnsi="OfficinaSanItcTEE"/>
          <w:b/>
          <w:szCs w:val="24"/>
        </w:rPr>
      </w:pPr>
    </w:p>
    <w:p w14:paraId="61A83816" w14:textId="77777777" w:rsidR="008E6552" w:rsidRPr="008E6552" w:rsidRDefault="008E6552" w:rsidP="008E6552">
      <w:pPr>
        <w:tabs>
          <w:tab w:val="clear" w:pos="0"/>
          <w:tab w:val="clear" w:pos="284"/>
          <w:tab w:val="clear" w:pos="1701"/>
        </w:tabs>
        <w:rPr>
          <w:rFonts w:ascii="OfficinaSanItcTEE" w:hAnsi="OfficinaSanItcTEE"/>
          <w:b/>
          <w:szCs w:val="24"/>
        </w:rPr>
      </w:pPr>
    </w:p>
    <w:p w14:paraId="0D7C8B06" w14:textId="77777777" w:rsidR="008E6552" w:rsidRPr="008E6552" w:rsidRDefault="008E6552" w:rsidP="008E6552">
      <w:pPr>
        <w:tabs>
          <w:tab w:val="clear" w:pos="0"/>
          <w:tab w:val="clear" w:pos="284"/>
          <w:tab w:val="clear" w:pos="1701"/>
        </w:tabs>
        <w:rPr>
          <w:rFonts w:ascii="OfficinaSanItcTEE" w:hAnsi="OfficinaSanItcTEE"/>
          <w:b/>
          <w:szCs w:val="24"/>
        </w:rPr>
      </w:pPr>
    </w:p>
    <w:p w14:paraId="7DEE0F49" w14:textId="77777777" w:rsidR="008E6552" w:rsidRPr="008E6552" w:rsidRDefault="008E6552" w:rsidP="008E6552">
      <w:pPr>
        <w:tabs>
          <w:tab w:val="clear" w:pos="0"/>
          <w:tab w:val="clear" w:pos="284"/>
          <w:tab w:val="clear" w:pos="1701"/>
        </w:tabs>
        <w:spacing w:after="60"/>
        <w:rPr>
          <w:rFonts w:ascii="OfficinaSanItcTEE" w:hAnsi="OfficinaSanItcTEE"/>
          <w:b/>
          <w:smallCaps/>
          <w:noProof/>
          <w:sz w:val="26"/>
          <w:szCs w:val="28"/>
        </w:rPr>
      </w:pPr>
    </w:p>
    <w:p w14:paraId="30CD66DF" w14:textId="77777777" w:rsidR="0000516A" w:rsidRPr="0000516A" w:rsidRDefault="0000516A" w:rsidP="0000516A">
      <w:pPr>
        <w:tabs>
          <w:tab w:val="clear" w:pos="0"/>
          <w:tab w:val="clear" w:pos="284"/>
          <w:tab w:val="clear" w:pos="1701"/>
        </w:tabs>
        <w:jc w:val="left"/>
        <w:rPr>
          <w:szCs w:val="22"/>
        </w:rPr>
        <w:sectPr w:rsidR="0000516A" w:rsidRPr="0000516A" w:rsidSect="0000516A">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pPr>
    </w:p>
    <w:p w14:paraId="52F03C85" w14:textId="77777777" w:rsidR="0000516A" w:rsidRDefault="0000516A" w:rsidP="0000516A">
      <w:pPr>
        <w:tabs>
          <w:tab w:val="clear" w:pos="0"/>
          <w:tab w:val="clear" w:pos="284"/>
          <w:tab w:val="clear" w:pos="1701"/>
        </w:tabs>
        <w:jc w:val="left"/>
        <w:rPr>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8"/>
          <w:headerReference w:type="first" r:id="rId29"/>
          <w:footerReference w:type="first" r:id="rId30"/>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3"/>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67232B" w:rsidP="0000516A">
      <w:pPr>
        <w:spacing w:after="200"/>
        <w:rPr>
          <w:rStyle w:val="DeltaViewInsertion"/>
          <w:b/>
          <w:kern w:val="22"/>
          <w:szCs w:val="22"/>
        </w:rPr>
      </w:pPr>
      <w:r w:rsidRPr="0098388B">
        <w:rPr>
          <w:noProof/>
          <w:szCs w:val="22"/>
        </w:rPr>
        <w:object w:dxaOrig="19949" w:dyaOrig="9459" w14:anchorId="7752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5" o:title=""/>
          </v:shape>
          <o:OLEObject Type="Embed" ProgID="Excel.Sheet.12" ShapeID="_x0000_i1025" DrawAspect="Content" ObjectID="_1660463863" r:id="rId36"/>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CC5935">
        <w:rPr>
          <w:sz w:val="22"/>
          <w:szCs w:val="22"/>
        </w:rPr>
        <w:lastRenderedPageBreak/>
        <w:t xml:space="preserve">Příloha č. </w:t>
      </w:r>
      <w:r w:rsidR="008E372C" w:rsidRPr="00CC5935">
        <w:rPr>
          <w:sz w:val="22"/>
          <w:szCs w:val="22"/>
        </w:rPr>
        <w:t>7</w:t>
      </w:r>
      <w:r w:rsidR="006655E3" w:rsidRPr="00CC5935">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48A9E" w14:textId="77777777" w:rsidR="006A0993" w:rsidRDefault="006A0993" w:rsidP="003C6092">
      <w:r>
        <w:separator/>
      </w:r>
    </w:p>
  </w:endnote>
  <w:endnote w:type="continuationSeparator" w:id="0">
    <w:p w14:paraId="41F4ECF0" w14:textId="77777777" w:rsidR="006A0993" w:rsidRDefault="006A0993"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6C80" w14:textId="4BC1FE13" w:rsidR="00C70C93" w:rsidRPr="000F72A0" w:rsidRDefault="00C70C93">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ED038A">
      <w:rPr>
        <w:noProof/>
        <w:szCs w:val="24"/>
      </w:rPr>
      <w:t>19</w:t>
    </w:r>
    <w:r w:rsidRPr="000F72A0">
      <w:rPr>
        <w:szCs w:val="24"/>
      </w:rPr>
      <w:fldChar w:fldCharType="end"/>
    </w:r>
  </w:p>
  <w:p w14:paraId="79BB4310" w14:textId="77777777" w:rsidR="00C70C93" w:rsidRDefault="00C70C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681F" w14:textId="77777777" w:rsidR="00C70C93" w:rsidRDefault="00C70C9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32F6" w14:textId="77777777" w:rsidR="00C70C93" w:rsidRPr="000A65D6" w:rsidRDefault="00C70C93" w:rsidP="008B5DEF">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2090" w14:textId="77777777" w:rsidR="00C70C93" w:rsidRDefault="00C70C93" w:rsidP="008B5DEF">
    <w:pPr>
      <w:pStyle w:val="Zpat"/>
      <w:pBdr>
        <w:top w:val="single" w:sz="4" w:space="1" w:color="auto"/>
      </w:pBdr>
      <w:rPr>
        <w:b/>
        <w:i/>
        <w:sz w:val="18"/>
      </w:rPr>
    </w:pPr>
    <w:r>
      <w:rPr>
        <w:b/>
        <w:i/>
        <w:sz w:val="18"/>
      </w:rPr>
      <w:t>Platnost od 29.05.2017                                                                                                           účinnost od 29.05.2017</w:t>
    </w:r>
  </w:p>
  <w:p w14:paraId="4D1AFA25" w14:textId="77777777" w:rsidR="00C70C93" w:rsidRDefault="00C70C93" w:rsidP="008B5DEF">
    <w:pPr>
      <w:pStyle w:val="Zpat"/>
      <w:tabs>
        <w:tab w:val="left" w:pos="885"/>
      </w:tabs>
    </w:pPr>
    <w:r>
      <w:tab/>
    </w:r>
  </w:p>
  <w:p w14:paraId="1EFB425F" w14:textId="77777777" w:rsidR="00C70C93" w:rsidRDefault="00C70C9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0524" w14:textId="77777777" w:rsidR="00C70C93" w:rsidRDefault="00C70C93">
    <w:pPr>
      <w:pStyle w:val="Zpat"/>
      <w:jc w:val="center"/>
    </w:pPr>
  </w:p>
  <w:p w14:paraId="7BAAE6EE" w14:textId="77777777" w:rsidR="00C70C93" w:rsidRDefault="00C70C9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4945" w14:textId="77777777" w:rsidR="00C70C93" w:rsidRPr="00F6793D" w:rsidRDefault="00C70C93" w:rsidP="008B5D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89D9E" w14:textId="77777777" w:rsidR="006A0993" w:rsidRDefault="006A0993" w:rsidP="003C6092">
      <w:r>
        <w:separator/>
      </w:r>
    </w:p>
  </w:footnote>
  <w:footnote w:type="continuationSeparator" w:id="0">
    <w:p w14:paraId="316B60BC" w14:textId="77777777" w:rsidR="006A0993" w:rsidRDefault="006A0993" w:rsidP="003C6092">
      <w:r>
        <w:continuationSeparator/>
      </w:r>
    </w:p>
  </w:footnote>
  <w:footnote w:id="1">
    <w:p w14:paraId="477C3EAA" w14:textId="77777777" w:rsidR="00C70C93" w:rsidRDefault="00C70C93"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047CDDA6" w14:textId="77777777" w:rsidR="00C70C93" w:rsidRDefault="00C70C93" w:rsidP="008E6552">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C70C93" w:rsidRPr="00C41596" w:rsidRDefault="00C70C93"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C70C93" w:rsidRPr="00C41596" w:rsidRDefault="00C70C93" w:rsidP="00D9501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AB61" w14:textId="07B77431" w:rsidR="00146056" w:rsidRPr="00146056" w:rsidRDefault="00146056" w:rsidP="00146056">
    <w:pPr>
      <w:pStyle w:val="Zhlav"/>
      <w:jc w:val="center"/>
    </w:pPr>
    <w:r w:rsidRPr="00F74EA7">
      <w:rPr>
        <w:noProof/>
      </w:rPr>
      <w:drawing>
        <wp:inline distT="0" distB="0" distL="0" distR="0" wp14:anchorId="23F135FC" wp14:editId="77B0CCE3">
          <wp:extent cx="1552575" cy="609600"/>
          <wp:effectExtent l="0" t="0" r="0" b="0"/>
          <wp:docPr id="9"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3758" w14:textId="77777777" w:rsidR="00C70C93" w:rsidRPr="00404423" w:rsidRDefault="00C70C93"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C70C93" w14:paraId="09A71F14" w14:textId="77777777" w:rsidTr="008B5DEF">
      <w:trPr>
        <w:cantSplit/>
        <w:trHeight w:val="129"/>
        <w:jc w:val="center"/>
      </w:trPr>
      <w:tc>
        <w:tcPr>
          <w:tcW w:w="1856" w:type="dxa"/>
          <w:vMerge w:val="restart"/>
          <w:vAlign w:val="center"/>
        </w:tcPr>
        <w:p w14:paraId="548DFC57" w14:textId="77777777" w:rsidR="00C70C93" w:rsidRDefault="00C70C93" w:rsidP="008B5DEF">
          <w:pPr>
            <w:pStyle w:val="Zhlav"/>
            <w:spacing w:before="120"/>
            <w:jc w:val="center"/>
            <w:rPr>
              <w:noProof/>
              <w:sz w:val="20"/>
            </w:rPr>
          </w:pPr>
          <w:r>
            <w:rPr>
              <w:noProof/>
              <w:sz w:val="20"/>
            </w:rPr>
            <w:drawing>
              <wp:inline distT="0" distB="0" distL="0" distR="0" wp14:anchorId="47EFA005" wp14:editId="4EDAA8F2">
                <wp:extent cx="1000125" cy="257175"/>
                <wp:effectExtent l="19050" t="0" r="9525"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6616797C" w14:textId="77777777" w:rsidR="00C70C93" w:rsidRPr="004F1040" w:rsidRDefault="00C70C93"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073F68C3" w14:textId="77777777" w:rsidR="00C70C93" w:rsidRPr="00BA5BE0" w:rsidRDefault="00C70C93"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6A2A4BB" w14:textId="77777777" w:rsidR="00C70C93" w:rsidRPr="00733DEB" w:rsidRDefault="00C70C93"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89673FF" w14:textId="669016FF" w:rsidR="00C70C93" w:rsidRPr="004F1040" w:rsidRDefault="00C70C93"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ED038A">
            <w:rPr>
              <w:rFonts w:ascii="Calibri" w:hAnsi="Calibri" w:cs="Calibri"/>
              <w:noProof/>
              <w:sz w:val="18"/>
            </w:rPr>
            <w:t>48</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ED038A">
            <w:rPr>
              <w:rFonts w:ascii="Calibri" w:hAnsi="Calibri" w:cs="Calibri"/>
              <w:noProof/>
              <w:sz w:val="18"/>
            </w:rPr>
            <w:t>57</w:t>
          </w:r>
          <w:r w:rsidRPr="004F1040">
            <w:rPr>
              <w:rFonts w:ascii="Calibri" w:hAnsi="Calibri" w:cs="Calibri"/>
              <w:sz w:val="18"/>
            </w:rPr>
            <w:fldChar w:fldCharType="end"/>
          </w:r>
          <w:r w:rsidRPr="004F1040">
            <w:rPr>
              <w:rFonts w:ascii="Calibri" w:hAnsi="Calibri" w:cs="Calibri"/>
              <w:sz w:val="18"/>
            </w:rPr>
            <w:t>)</w:t>
          </w:r>
        </w:p>
        <w:p w14:paraId="4EECE437" w14:textId="77777777" w:rsidR="00C70C93" w:rsidRPr="004F1040" w:rsidRDefault="00C70C93"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0FBDF01" w14:textId="77777777" w:rsidR="00C70C93" w:rsidRDefault="00C70C93"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C70C93" w14:paraId="3982DD5D" w14:textId="77777777" w:rsidTr="008B5DEF">
      <w:trPr>
        <w:cantSplit/>
        <w:trHeight w:val="129"/>
        <w:jc w:val="center"/>
      </w:trPr>
      <w:tc>
        <w:tcPr>
          <w:tcW w:w="1856" w:type="dxa"/>
          <w:vMerge/>
        </w:tcPr>
        <w:p w14:paraId="6B600387" w14:textId="77777777" w:rsidR="00C70C93" w:rsidRDefault="00C70C93" w:rsidP="008B5DEF">
          <w:pPr>
            <w:pStyle w:val="Zhlav"/>
            <w:rPr>
              <w:noProof/>
            </w:rPr>
          </w:pPr>
        </w:p>
      </w:tc>
      <w:tc>
        <w:tcPr>
          <w:tcW w:w="5483" w:type="dxa"/>
          <w:vAlign w:val="center"/>
        </w:tcPr>
        <w:p w14:paraId="5D7433E6" w14:textId="77777777" w:rsidR="00C70C93" w:rsidRPr="005E7515" w:rsidRDefault="00C70C93" w:rsidP="008B5DEF">
          <w:pPr>
            <w:pStyle w:val="Zhlav"/>
            <w:spacing w:before="60"/>
            <w:jc w:val="center"/>
            <w:rPr>
              <w:b/>
              <w:noProof/>
            </w:rPr>
          </w:pPr>
          <w:r>
            <w:rPr>
              <w:b/>
              <w:noProof/>
            </w:rPr>
            <w:t>R-Sm-36</w:t>
          </w:r>
        </w:p>
      </w:tc>
      <w:tc>
        <w:tcPr>
          <w:tcW w:w="1842" w:type="dxa"/>
          <w:vMerge/>
        </w:tcPr>
        <w:p w14:paraId="4DF7E116" w14:textId="77777777" w:rsidR="00C70C93" w:rsidRDefault="00C70C93" w:rsidP="008B5DEF">
          <w:pPr>
            <w:pStyle w:val="Zhlav"/>
            <w:rPr>
              <w:noProof/>
            </w:rPr>
          </w:pPr>
        </w:p>
      </w:tc>
    </w:tr>
  </w:tbl>
  <w:p w14:paraId="6C73007D" w14:textId="77777777" w:rsidR="00C70C93" w:rsidRDefault="00C70C93" w:rsidP="008B5DEF">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4C06" w14:textId="77777777" w:rsidR="00C70C93" w:rsidRPr="00404423" w:rsidRDefault="00C70C93" w:rsidP="008B5DEF">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C70C93" w14:paraId="60E74562" w14:textId="77777777" w:rsidTr="008B5DEF">
      <w:trPr>
        <w:cantSplit/>
        <w:trHeight w:val="129"/>
        <w:jc w:val="center"/>
      </w:trPr>
      <w:tc>
        <w:tcPr>
          <w:tcW w:w="1856" w:type="dxa"/>
          <w:vMerge w:val="restart"/>
          <w:vAlign w:val="center"/>
        </w:tcPr>
        <w:p w14:paraId="1DA673C6" w14:textId="77777777" w:rsidR="00C70C93" w:rsidRDefault="00C70C93" w:rsidP="008B5DEF">
          <w:pPr>
            <w:pStyle w:val="Zhlav"/>
            <w:spacing w:before="120"/>
            <w:jc w:val="center"/>
            <w:rPr>
              <w:noProof/>
              <w:sz w:val="20"/>
            </w:rPr>
          </w:pPr>
          <w:r>
            <w:rPr>
              <w:noProof/>
              <w:sz w:val="20"/>
            </w:rPr>
            <w:drawing>
              <wp:inline distT="0" distB="0" distL="0" distR="0" wp14:anchorId="3590308B" wp14:editId="77A31C29">
                <wp:extent cx="1000125" cy="257175"/>
                <wp:effectExtent l="19050" t="0" r="9525"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15B4347F" w14:textId="77777777" w:rsidR="00C70C93" w:rsidRPr="004F1040" w:rsidRDefault="00C70C93" w:rsidP="008B5DEF">
          <w:pPr>
            <w:pStyle w:val="Zhlav"/>
            <w:spacing w:before="120"/>
            <w:jc w:val="center"/>
            <w:rPr>
              <w:rFonts w:ascii="Calibri" w:hAnsi="Calibri" w:cs="Calibri"/>
              <w:sz w:val="20"/>
            </w:rPr>
          </w:pPr>
          <w:r w:rsidRPr="004F1040">
            <w:rPr>
              <w:rFonts w:ascii="Calibri" w:hAnsi="Calibri" w:cs="Calibri"/>
              <w:sz w:val="20"/>
            </w:rPr>
            <w:t xml:space="preserve">Krajská správa a </w:t>
          </w:r>
        </w:p>
        <w:p w14:paraId="3D4E9D24" w14:textId="77777777" w:rsidR="00C70C93" w:rsidRPr="00BA5BE0" w:rsidRDefault="00C70C93" w:rsidP="008B5DEF">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BEF3FFA" w14:textId="77777777" w:rsidR="00C70C93" w:rsidRPr="00733DEB" w:rsidRDefault="00C70C93" w:rsidP="008B5DEF">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47621C0" w14:textId="637C43B4" w:rsidR="00C70C93" w:rsidRPr="004F1040" w:rsidRDefault="00C70C93" w:rsidP="008B5DEF">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ED038A">
            <w:rPr>
              <w:rFonts w:ascii="Calibri" w:hAnsi="Calibri" w:cs="Calibri"/>
              <w:noProof/>
              <w:sz w:val="18"/>
            </w:rPr>
            <w:t>29</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ED038A">
            <w:rPr>
              <w:rFonts w:ascii="Calibri" w:hAnsi="Calibri" w:cs="Calibri"/>
              <w:noProof/>
              <w:sz w:val="18"/>
            </w:rPr>
            <w:t>57</w:t>
          </w:r>
          <w:r w:rsidRPr="004F1040">
            <w:rPr>
              <w:rFonts w:ascii="Calibri" w:hAnsi="Calibri" w:cs="Calibri"/>
              <w:sz w:val="18"/>
            </w:rPr>
            <w:fldChar w:fldCharType="end"/>
          </w:r>
          <w:r w:rsidRPr="004F1040">
            <w:rPr>
              <w:rFonts w:ascii="Calibri" w:hAnsi="Calibri" w:cs="Calibri"/>
              <w:sz w:val="18"/>
            </w:rPr>
            <w:t>)</w:t>
          </w:r>
        </w:p>
        <w:p w14:paraId="72F9AAF9" w14:textId="77777777" w:rsidR="00C70C93" w:rsidRPr="004F1040" w:rsidRDefault="00C70C93" w:rsidP="008B5DEF">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2105C5" w14:textId="77777777" w:rsidR="00C70C93" w:rsidRDefault="00C70C93" w:rsidP="008B5DEF">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C70C93" w14:paraId="05C48B21" w14:textId="77777777" w:rsidTr="008B5DEF">
      <w:trPr>
        <w:cantSplit/>
        <w:trHeight w:val="129"/>
        <w:jc w:val="center"/>
      </w:trPr>
      <w:tc>
        <w:tcPr>
          <w:tcW w:w="1856" w:type="dxa"/>
          <w:vMerge/>
        </w:tcPr>
        <w:p w14:paraId="235DB352" w14:textId="77777777" w:rsidR="00C70C93" w:rsidRDefault="00C70C93" w:rsidP="008B5DEF">
          <w:pPr>
            <w:pStyle w:val="Zhlav"/>
            <w:rPr>
              <w:noProof/>
            </w:rPr>
          </w:pPr>
        </w:p>
      </w:tc>
      <w:tc>
        <w:tcPr>
          <w:tcW w:w="5483" w:type="dxa"/>
          <w:vAlign w:val="center"/>
        </w:tcPr>
        <w:p w14:paraId="5CB507C9" w14:textId="77777777" w:rsidR="00C70C93" w:rsidRPr="005E7515" w:rsidRDefault="00C70C93" w:rsidP="008B5DEF">
          <w:pPr>
            <w:pStyle w:val="Zhlav"/>
            <w:spacing w:before="60"/>
            <w:jc w:val="center"/>
            <w:rPr>
              <w:b/>
              <w:noProof/>
            </w:rPr>
          </w:pPr>
          <w:r>
            <w:rPr>
              <w:b/>
              <w:noProof/>
            </w:rPr>
            <w:t>R-Sm-36</w:t>
          </w:r>
        </w:p>
      </w:tc>
      <w:tc>
        <w:tcPr>
          <w:tcW w:w="1842" w:type="dxa"/>
          <w:vMerge/>
        </w:tcPr>
        <w:p w14:paraId="27F8904C" w14:textId="77777777" w:rsidR="00C70C93" w:rsidRDefault="00C70C93" w:rsidP="008B5DEF">
          <w:pPr>
            <w:pStyle w:val="Zhlav"/>
            <w:rPr>
              <w:noProof/>
            </w:rPr>
          </w:pPr>
        </w:p>
      </w:tc>
    </w:tr>
  </w:tbl>
  <w:p w14:paraId="601A2A75" w14:textId="77777777" w:rsidR="00C70C93" w:rsidRDefault="00C70C9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43A" w14:textId="77777777" w:rsidR="00C70C93" w:rsidRPr="00B722D5" w:rsidRDefault="00C70C93" w:rsidP="008B5DE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EB18" w14:textId="77777777" w:rsidR="00C70C93" w:rsidRPr="00B722D5" w:rsidRDefault="00C70C93" w:rsidP="008B5D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C2"/>
    <w:rsid w:val="000B31B4"/>
    <w:rsid w:val="000B52FF"/>
    <w:rsid w:val="000B5633"/>
    <w:rsid w:val="000B5A55"/>
    <w:rsid w:val="000B6602"/>
    <w:rsid w:val="000B7C06"/>
    <w:rsid w:val="000C31D7"/>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654C"/>
    <w:rsid w:val="001408CC"/>
    <w:rsid w:val="00140E9C"/>
    <w:rsid w:val="001416E6"/>
    <w:rsid w:val="00143585"/>
    <w:rsid w:val="00144EF4"/>
    <w:rsid w:val="0014516E"/>
    <w:rsid w:val="001451BC"/>
    <w:rsid w:val="00146056"/>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50D9"/>
    <w:rsid w:val="0034563B"/>
    <w:rsid w:val="00345EF1"/>
    <w:rsid w:val="0036433F"/>
    <w:rsid w:val="00370C26"/>
    <w:rsid w:val="00370F16"/>
    <w:rsid w:val="00374AB2"/>
    <w:rsid w:val="00376854"/>
    <w:rsid w:val="0038024A"/>
    <w:rsid w:val="00390060"/>
    <w:rsid w:val="00390140"/>
    <w:rsid w:val="00392F17"/>
    <w:rsid w:val="00393233"/>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76E55"/>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099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C5935"/>
    <w:rsid w:val="00CD1001"/>
    <w:rsid w:val="00CD25FA"/>
    <w:rsid w:val="00CD37B7"/>
    <w:rsid w:val="00CD7A24"/>
    <w:rsid w:val="00CE28AD"/>
    <w:rsid w:val="00CE6916"/>
    <w:rsid w:val="00CE6E8C"/>
    <w:rsid w:val="00D02DC6"/>
    <w:rsid w:val="00D03D9C"/>
    <w:rsid w:val="00D147A5"/>
    <w:rsid w:val="00D313B7"/>
    <w:rsid w:val="00D31CAA"/>
    <w:rsid w:val="00D36666"/>
    <w:rsid w:val="00D37225"/>
    <w:rsid w:val="00D4099F"/>
    <w:rsid w:val="00D4354E"/>
    <w:rsid w:val="00D44C11"/>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12F"/>
    <w:rsid w:val="00EC319A"/>
    <w:rsid w:val="00ED038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ales.cermak@ksus.cz"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image" Target="media/image3.png"/><Relationship Id="rId29" Type="http://schemas.openxmlformats.org/officeDocument/2006/relationships/header" Target="head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7.wmf"/><Relationship Id="rId37" Type="http://schemas.openxmlformats.org/officeDocument/2006/relationships/image" Target="media/image10.wmf"/><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package" Target="embeddings/List_aplikace_Microsoft_Excel.xlsx"/><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hyperlink" Target="https://smlouvy.gov.cz/" TargetMode="External"/><Relationship Id="rId27" Type="http://schemas.openxmlformats.org/officeDocument/2006/relationships/image" Target="media/image5.wmf"/><Relationship Id="rId30" Type="http://schemas.openxmlformats.org/officeDocument/2006/relationships/footer" Target="footer5.xml"/><Relationship Id="rId35"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E8073E-7B91-4982-86A6-4084A90F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16584</Words>
  <Characters>97852</Characters>
  <Application>Microsoft Office Word</Application>
  <DocSecurity>0</DocSecurity>
  <Lines>815</Lines>
  <Paragraphs>228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2020-09-01T09:11:00Z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