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DF5D" w14:textId="77777777" w:rsidR="000A570C" w:rsidRDefault="000A570C" w:rsidP="000A570C">
      <w:pPr>
        <w:jc w:val="both"/>
        <w:rPr>
          <w:rStyle w:val="Siln"/>
        </w:rPr>
      </w:pPr>
    </w:p>
    <w:p w14:paraId="02FEFEC0" w14:textId="77777777" w:rsidR="000A570C" w:rsidRPr="00380026" w:rsidRDefault="000A570C" w:rsidP="000A570C">
      <w:pPr>
        <w:jc w:val="both"/>
        <w:rPr>
          <w:rFonts w:eastAsia="Calibri"/>
        </w:rPr>
      </w:pPr>
    </w:p>
    <w:p w14:paraId="0B7FBF9B" w14:textId="2F9A23F7" w:rsidR="000A570C" w:rsidRDefault="000A570C" w:rsidP="000A570C">
      <w:pPr>
        <w:jc w:val="center"/>
        <w:rPr>
          <w:rFonts w:eastAsia="Calibri"/>
          <w:b/>
          <w:caps/>
        </w:rPr>
      </w:pPr>
      <w:r w:rsidRPr="00380026">
        <w:rPr>
          <w:rFonts w:eastAsia="Calibri"/>
          <w:b/>
          <w:caps/>
        </w:rPr>
        <w:t>KUPNÍ Smlouva</w:t>
      </w:r>
    </w:p>
    <w:p w14:paraId="476287FB" w14:textId="77777777" w:rsidR="009D412A" w:rsidRPr="00380026" w:rsidRDefault="009D412A" w:rsidP="000A570C">
      <w:pPr>
        <w:jc w:val="center"/>
        <w:rPr>
          <w:rFonts w:eastAsia="Calibri"/>
          <w:b/>
          <w:caps/>
        </w:rPr>
      </w:pPr>
    </w:p>
    <w:p w14:paraId="3EE64519" w14:textId="790CDD15" w:rsidR="000A570C" w:rsidRDefault="000A570C" w:rsidP="000A570C">
      <w:pPr>
        <w:jc w:val="center"/>
        <w:rPr>
          <w:rFonts w:eastAsia="Calibri"/>
        </w:rPr>
      </w:pPr>
      <w:r w:rsidRPr="00380026">
        <w:rPr>
          <w:rFonts w:eastAsia="Calibri"/>
        </w:rPr>
        <w:t>uzavřená dle ustanovení § 2079 a násl. zákona č. 89/2012 Sb., občanský zákoník</w:t>
      </w:r>
    </w:p>
    <w:p w14:paraId="7D8A5A4C" w14:textId="77777777" w:rsidR="00EB7DC7" w:rsidRPr="00380026" w:rsidRDefault="00EB7DC7" w:rsidP="000A570C">
      <w:pPr>
        <w:jc w:val="center"/>
        <w:rPr>
          <w:rFonts w:eastAsia="Calibri"/>
        </w:rPr>
      </w:pPr>
    </w:p>
    <w:p w14:paraId="22F5ABDD" w14:textId="77777777" w:rsidR="000A570C" w:rsidRPr="009D412A" w:rsidRDefault="000A570C" w:rsidP="009D412A">
      <w:pPr>
        <w:jc w:val="center"/>
        <w:rPr>
          <w:rFonts w:eastAsia="Calibri"/>
          <w:b/>
          <w:caps/>
        </w:rPr>
      </w:pPr>
      <w:r w:rsidRPr="009D412A">
        <w:rPr>
          <w:rFonts w:eastAsia="Calibri"/>
          <w:b/>
          <w:caps/>
        </w:rPr>
        <w:t>Smluvní strany</w:t>
      </w:r>
    </w:p>
    <w:p w14:paraId="45CEF508" w14:textId="77777777" w:rsidR="000A570C" w:rsidRPr="00742030" w:rsidRDefault="000A570C" w:rsidP="000A570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/>
        <w:ind w:left="360"/>
        <w:jc w:val="both"/>
        <w:rPr>
          <w:b/>
          <w:bCs/>
        </w:rPr>
      </w:pPr>
      <w:r w:rsidRPr="00742030">
        <w:rPr>
          <w:b/>
          <w:bCs/>
        </w:rPr>
        <w:t>…………………………..</w:t>
      </w:r>
    </w:p>
    <w:p w14:paraId="2F9B1324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 xml:space="preserve">se sídlem: </w:t>
      </w:r>
      <w:r w:rsidRPr="00742030">
        <w:tab/>
        <w:t>……………………</w:t>
      </w:r>
    </w:p>
    <w:p w14:paraId="6B3A20BF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zastoupen:</w:t>
      </w:r>
      <w:r w:rsidRPr="00742030">
        <w:tab/>
        <w:t>……………………</w:t>
      </w:r>
    </w:p>
    <w:p w14:paraId="300722F8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IČ:</w:t>
      </w:r>
      <w:r w:rsidRPr="00742030">
        <w:tab/>
        <w:t>……………………</w:t>
      </w:r>
    </w:p>
    <w:p w14:paraId="1CD54702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DIČ:</w:t>
      </w:r>
      <w:r w:rsidRPr="00742030">
        <w:tab/>
        <w:t>……………………</w:t>
      </w:r>
    </w:p>
    <w:p w14:paraId="3D11D312" w14:textId="77777777" w:rsidR="000A570C" w:rsidRPr="00742030" w:rsidRDefault="000A570C" w:rsidP="000A570C">
      <w:pPr>
        <w:numPr>
          <w:ilvl w:val="12"/>
          <w:numId w:val="0"/>
        </w:numPr>
        <w:tabs>
          <w:tab w:val="left" w:pos="2160"/>
          <w:tab w:val="left" w:pos="2880"/>
        </w:tabs>
        <w:ind w:left="360"/>
        <w:jc w:val="both"/>
      </w:pPr>
      <w:r w:rsidRPr="00742030">
        <w:t>Bankovní spojení:</w:t>
      </w:r>
      <w:r w:rsidRPr="00742030">
        <w:tab/>
      </w:r>
      <w:r w:rsidRPr="00742030">
        <w:tab/>
        <w:t>……………………</w:t>
      </w:r>
    </w:p>
    <w:p w14:paraId="6FDB2DFB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Číslo účtu:</w:t>
      </w:r>
      <w:r w:rsidRPr="00742030">
        <w:tab/>
        <w:t>……………………</w:t>
      </w:r>
    </w:p>
    <w:p w14:paraId="467FEB39" w14:textId="77777777" w:rsidR="000A570C" w:rsidRPr="00742030" w:rsidRDefault="000A570C" w:rsidP="000A570C">
      <w:pPr>
        <w:numPr>
          <w:ilvl w:val="12"/>
          <w:numId w:val="0"/>
        </w:numPr>
        <w:spacing w:before="120"/>
        <w:ind w:left="360"/>
        <w:jc w:val="both"/>
        <w:rPr>
          <w:iCs/>
        </w:rPr>
      </w:pPr>
      <w:r w:rsidRPr="00742030">
        <w:rPr>
          <w:iCs/>
        </w:rPr>
        <w:t>(dále jen „prodávající“)</w:t>
      </w:r>
    </w:p>
    <w:p w14:paraId="346FB90F" w14:textId="77777777" w:rsidR="000A570C" w:rsidRPr="00742030" w:rsidRDefault="000A570C" w:rsidP="000A570C">
      <w:pPr>
        <w:tabs>
          <w:tab w:val="left" w:pos="2835"/>
        </w:tabs>
        <w:spacing w:before="240" w:after="240"/>
        <w:ind w:left="360"/>
        <w:jc w:val="both"/>
      </w:pPr>
      <w:r w:rsidRPr="00742030">
        <w:t>a</w:t>
      </w:r>
    </w:p>
    <w:p w14:paraId="3D1B35A3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  <w:rPr>
          <w:b/>
          <w:bCs/>
        </w:rPr>
      </w:pPr>
      <w:r w:rsidRPr="00742030">
        <w:rPr>
          <w:b/>
          <w:bCs/>
        </w:rPr>
        <w:t>Střední průmyslová škola, Mladá Boleslav, Havlíčkova 456</w:t>
      </w:r>
    </w:p>
    <w:p w14:paraId="57E5891A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se sídlem: </w:t>
      </w:r>
      <w:r>
        <w:tab/>
      </w:r>
      <w:r w:rsidRPr="00742030">
        <w:t>Havlíčkova 456, Mladá Boleslav</w:t>
      </w:r>
      <w:r w:rsidRPr="00742030">
        <w:tab/>
      </w:r>
      <w:r w:rsidRPr="00742030">
        <w:tab/>
      </w:r>
      <w:r w:rsidRPr="00742030">
        <w:tab/>
      </w:r>
    </w:p>
    <w:p w14:paraId="1BC990F3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zastoupena: </w:t>
      </w:r>
      <w:r>
        <w:tab/>
      </w:r>
      <w:r w:rsidRPr="00742030">
        <w:t xml:space="preserve">Ing. </w:t>
      </w:r>
      <w:r w:rsidR="00263970">
        <w:t>Václavem Bohatou</w:t>
      </w:r>
      <w:r w:rsidRPr="00742030">
        <w:tab/>
      </w:r>
    </w:p>
    <w:p w14:paraId="1ECA805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 xml:space="preserve">IČ: </w:t>
      </w:r>
      <w:r>
        <w:tab/>
      </w:r>
      <w:r w:rsidRPr="00742030">
        <w:t>48683795</w:t>
      </w:r>
      <w:r w:rsidRPr="00742030">
        <w:tab/>
      </w:r>
      <w:r w:rsidRPr="00742030">
        <w:tab/>
      </w:r>
    </w:p>
    <w:p w14:paraId="59AA36B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>DIČ:</w:t>
      </w:r>
      <w:r w:rsidRPr="00742030">
        <w:tab/>
      </w:r>
      <w:r>
        <w:t>není plátcem DPH</w:t>
      </w:r>
    </w:p>
    <w:p w14:paraId="7201CB4A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Bankovní spojení:</w:t>
      </w:r>
      <w:r w:rsidRPr="00742030">
        <w:tab/>
      </w:r>
      <w:r>
        <w:t>KB Mladá Boleslav</w:t>
      </w:r>
    </w:p>
    <w:p w14:paraId="49E0DAA8" w14:textId="0CFF9F6D" w:rsidR="000A570C" w:rsidRPr="00742030" w:rsidRDefault="000A570C" w:rsidP="000A570C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Číslo účtu:</w:t>
      </w:r>
      <w:r w:rsidRPr="00742030">
        <w:tab/>
      </w:r>
      <w:r w:rsidR="001A4404" w:rsidRPr="001A4404">
        <w:t>19-5780460237/0100</w:t>
      </w:r>
    </w:p>
    <w:p w14:paraId="523133C6" w14:textId="77777777" w:rsidR="000A570C" w:rsidRPr="00742030" w:rsidRDefault="000A570C" w:rsidP="000A570C">
      <w:pPr>
        <w:tabs>
          <w:tab w:val="left" w:pos="2835"/>
        </w:tabs>
        <w:spacing w:before="120"/>
        <w:ind w:left="357" w:firstLine="3"/>
        <w:jc w:val="both"/>
      </w:pPr>
      <w:r w:rsidRPr="00742030">
        <w:t xml:space="preserve"> (dále jen „kupující“)</w:t>
      </w:r>
    </w:p>
    <w:p w14:paraId="449C1D7A" w14:textId="77777777" w:rsidR="000A570C" w:rsidRPr="00380026" w:rsidRDefault="000A570C" w:rsidP="000A570C">
      <w:pPr>
        <w:tabs>
          <w:tab w:val="left" w:pos="1701"/>
        </w:tabs>
        <w:ind w:left="1701" w:hanging="1701"/>
        <w:rPr>
          <w:rFonts w:eastAsia="Calibri"/>
        </w:rPr>
      </w:pPr>
    </w:p>
    <w:p w14:paraId="3423B666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eastAsia="Calibri"/>
        </w:rPr>
      </w:pPr>
      <w:r w:rsidRPr="00380026">
        <w:rPr>
          <w:rFonts w:eastAsia="Calibri"/>
        </w:rPr>
        <w:t>uzavírají níže uvedeného dne, měsíce a roku tuto</w:t>
      </w:r>
    </w:p>
    <w:p w14:paraId="5919422B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rPr>
          <w:rFonts w:eastAsia="Calibri"/>
        </w:rPr>
      </w:pPr>
    </w:p>
    <w:p w14:paraId="390C40AA" w14:textId="77777777" w:rsidR="000A570C" w:rsidRPr="00924838" w:rsidRDefault="000A570C" w:rsidP="000A570C">
      <w:pPr>
        <w:jc w:val="center"/>
        <w:rPr>
          <w:rFonts w:eastAsia="Calibri"/>
          <w:b/>
          <w:caps/>
        </w:rPr>
      </w:pPr>
      <w:r w:rsidRPr="00924838">
        <w:rPr>
          <w:rFonts w:eastAsia="Calibri"/>
          <w:b/>
          <w:caps/>
        </w:rPr>
        <w:t>kupní SmlouvU:</w:t>
      </w:r>
    </w:p>
    <w:p w14:paraId="261999D1" w14:textId="77777777" w:rsidR="000A570C" w:rsidRPr="00380026" w:rsidRDefault="000A570C" w:rsidP="000A570C">
      <w:pPr>
        <w:jc w:val="center"/>
        <w:rPr>
          <w:rFonts w:eastAsia="Calibri"/>
          <w:b/>
          <w:caps/>
          <w:sz w:val="28"/>
        </w:rPr>
      </w:pPr>
    </w:p>
    <w:p w14:paraId="3F2EBB85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I.</w:t>
      </w:r>
    </w:p>
    <w:p w14:paraId="7EDCB9ED" w14:textId="77777777" w:rsidR="000A570C" w:rsidRPr="00380026" w:rsidRDefault="000A570C" w:rsidP="000A570C">
      <w:pPr>
        <w:spacing w:before="120"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Předmět smlouvy a koupě</w:t>
      </w:r>
    </w:p>
    <w:p w14:paraId="74D5A66A" w14:textId="77777777" w:rsidR="000A570C" w:rsidRPr="00924838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Předmětem této smlouvy je úprava práv a povinností smluvních stran při dodávce vybavení veřejné zakázky „</w:t>
      </w:r>
      <w:r w:rsidR="00DE5FAB">
        <w:t xml:space="preserve">Dodávka </w:t>
      </w:r>
      <w:r w:rsidR="00263970">
        <w:t>páteřních přepínačů</w:t>
      </w:r>
      <w:r w:rsidRPr="00924838">
        <w:rPr>
          <w:rFonts w:eastAsia="Calibri"/>
        </w:rPr>
        <w:t>“ (dále jako „předmět koupě“) za podmínek dále sjednaných v</w:t>
      </w:r>
      <w:r w:rsidR="00263970">
        <w:rPr>
          <w:rFonts w:eastAsia="Calibri"/>
        </w:rPr>
        <w:t> </w:t>
      </w:r>
      <w:r w:rsidRPr="00924838">
        <w:rPr>
          <w:rFonts w:eastAsia="Calibri"/>
        </w:rPr>
        <w:t>této</w:t>
      </w:r>
      <w:r w:rsidR="00263970">
        <w:rPr>
          <w:rFonts w:eastAsia="Calibri"/>
        </w:rPr>
        <w:t xml:space="preserve"> </w:t>
      </w:r>
      <w:r w:rsidRPr="00924838">
        <w:rPr>
          <w:rFonts w:eastAsia="Calibri"/>
        </w:rPr>
        <w:t>smlouvě popř. dalších dokumentech, na které se tato smlouva odkazuje.</w:t>
      </w:r>
    </w:p>
    <w:p w14:paraId="435E314F" w14:textId="099E8564" w:rsidR="000A570C" w:rsidRPr="00924838" w:rsidRDefault="000A570C" w:rsidP="00E45068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Přesná specifikace předmětu koupě je uvedena v Příloze č.</w:t>
      </w:r>
      <w:r>
        <w:rPr>
          <w:rFonts w:eastAsia="Calibri"/>
        </w:rPr>
        <w:t xml:space="preserve"> 1</w:t>
      </w:r>
      <w:r w:rsidRPr="00924838">
        <w:rPr>
          <w:rFonts w:eastAsia="Calibri"/>
        </w:rPr>
        <w:t xml:space="preserve"> této kupní smlouvy. </w:t>
      </w:r>
      <w:r w:rsidR="00E45068">
        <w:rPr>
          <w:rFonts w:eastAsia="Calibri"/>
        </w:rPr>
        <w:t xml:space="preserve">Jako specifikaci předmětu koupě lze použít i </w:t>
      </w:r>
      <w:r w:rsidR="00E45068" w:rsidRPr="00E45068">
        <w:rPr>
          <w:rFonts w:eastAsia="Calibri"/>
        </w:rPr>
        <w:t xml:space="preserve">nabídka vybraného uchazeče pro veřejnou zakázku malého rozsahu s názvem “Dodávka </w:t>
      </w:r>
      <w:r w:rsidR="00263970">
        <w:rPr>
          <w:rFonts w:eastAsia="Calibri"/>
        </w:rPr>
        <w:t>páteřních přepínačů</w:t>
      </w:r>
      <w:r w:rsidR="00E45068" w:rsidRPr="00E45068">
        <w:rPr>
          <w:rFonts w:eastAsia="Calibri"/>
        </w:rPr>
        <w:t>“</w:t>
      </w:r>
      <w:r w:rsidR="00490582">
        <w:rPr>
          <w:rFonts w:eastAsia="Calibri"/>
        </w:rPr>
        <w:t xml:space="preserve">. </w:t>
      </w:r>
      <w:r w:rsidRPr="00924838">
        <w:rPr>
          <w:rFonts w:eastAsia="Calibri"/>
        </w:rPr>
        <w:t xml:space="preserve">Součástí předmětu koupě je i příslušenství a doklady, které se k němu vztahují a jsou potřebné k jeho převzetí a užívání. </w:t>
      </w:r>
    </w:p>
    <w:p w14:paraId="0F9686D5" w14:textId="77777777" w:rsidR="000A570C" w:rsidRPr="00380026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380026">
        <w:rPr>
          <w:rFonts w:eastAsia="Calibri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1CBF58C5" w14:textId="77777777" w:rsidR="000A570C" w:rsidRPr="00380026" w:rsidRDefault="000A570C" w:rsidP="000A570C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</w:rPr>
      </w:pPr>
      <w:r w:rsidRPr="00380026">
        <w:rPr>
          <w:rFonts w:eastAsia="Calibri"/>
          <w:iCs/>
        </w:rPr>
        <w:lastRenderedPageBreak/>
        <w:t>Předmět koupě</w:t>
      </w:r>
      <w:r w:rsidRPr="00380026">
        <w:rPr>
          <w:rFonts w:eastAsia="Calibri"/>
        </w:rPr>
        <w:t xml:space="preserve"> je určen pr</w:t>
      </w:r>
      <w:r w:rsidR="00DE5FAB">
        <w:rPr>
          <w:rFonts w:eastAsia="Calibri"/>
        </w:rPr>
        <w:t>o účely</w:t>
      </w:r>
      <w:r w:rsidR="00263970">
        <w:rPr>
          <w:rFonts w:eastAsia="Calibri"/>
        </w:rPr>
        <w:t xml:space="preserve"> dodávky páteřních přepínačů</w:t>
      </w:r>
      <w:r w:rsidR="00DE5FAB">
        <w:rPr>
          <w:rFonts w:eastAsia="Calibri"/>
        </w:rPr>
        <w:t xml:space="preserve"> </w:t>
      </w:r>
      <w:r w:rsidR="00263970">
        <w:rPr>
          <w:rFonts w:eastAsia="Calibri"/>
        </w:rPr>
        <w:t>počítačové sítě v </w:t>
      </w:r>
      <w:r w:rsidR="00DE5FAB">
        <w:rPr>
          <w:rFonts w:eastAsia="Calibri"/>
        </w:rPr>
        <w:t>sídl</w:t>
      </w:r>
      <w:r w:rsidR="00263970">
        <w:rPr>
          <w:rFonts w:eastAsia="Calibri"/>
        </w:rPr>
        <w:t xml:space="preserve">e </w:t>
      </w:r>
      <w:r w:rsidR="00E45068">
        <w:rPr>
          <w:rFonts w:eastAsia="Calibri"/>
        </w:rPr>
        <w:t>kupujícího.</w:t>
      </w:r>
    </w:p>
    <w:p w14:paraId="73BD4AAA" w14:textId="77777777" w:rsidR="000A570C" w:rsidRPr="00380026" w:rsidRDefault="000A570C" w:rsidP="000A570C">
      <w:pPr>
        <w:jc w:val="center"/>
        <w:rPr>
          <w:rFonts w:eastAsia="Calibri"/>
          <w:b/>
          <w:bCs/>
        </w:rPr>
      </w:pPr>
    </w:p>
    <w:p w14:paraId="3FE65870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II.</w:t>
      </w:r>
    </w:p>
    <w:p w14:paraId="02DBA41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Doba a místo plnění</w:t>
      </w:r>
    </w:p>
    <w:p w14:paraId="3F33EE29" w14:textId="77777777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 xml:space="preserve">Prodávající se </w:t>
      </w:r>
      <w:r w:rsidR="00E52A8B">
        <w:rPr>
          <w:rFonts w:eastAsia="Calibri"/>
        </w:rPr>
        <w:t>za</w:t>
      </w:r>
      <w:r w:rsidR="00DE5FAB">
        <w:rPr>
          <w:rFonts w:eastAsia="Calibri"/>
        </w:rPr>
        <w:t>vazuje dodat předmět koupě do 30.</w:t>
      </w:r>
      <w:r w:rsidR="00263970">
        <w:rPr>
          <w:rFonts w:eastAsia="Calibri"/>
        </w:rPr>
        <w:t>6.2020</w:t>
      </w:r>
      <w:r w:rsidR="00E52A8B">
        <w:rPr>
          <w:rFonts w:eastAsia="Calibri"/>
        </w:rPr>
        <w:t>.</w:t>
      </w:r>
    </w:p>
    <w:p w14:paraId="46447DE1" w14:textId="77777777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>Místem dodání předmětu koupě je sídlo kupujícího na adrese Havlíčkova 456, Mladá Boleslav</w:t>
      </w:r>
    </w:p>
    <w:p w14:paraId="4C9DE932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III.</w:t>
      </w:r>
    </w:p>
    <w:p w14:paraId="6107EF70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Kupní cena a platební podmínky</w:t>
      </w:r>
    </w:p>
    <w:p w14:paraId="0879987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se ujednává ve výši </w:t>
      </w:r>
      <w:proofErr w:type="gramStart"/>
      <w:r w:rsidRPr="00380026">
        <w:t>...........................,-</w:t>
      </w:r>
      <w:proofErr w:type="gramEnd"/>
      <w:r w:rsidRPr="00380026">
        <w:t xml:space="preserve"> Kč (slovy ........................ korun českých) bez DPH a ………………….,- Kč (slovy ………………… korun českých) s  ........ DPH. </w:t>
      </w:r>
    </w:p>
    <w:p w14:paraId="3BDA1173" w14:textId="77777777" w:rsidR="000A570C" w:rsidRPr="00924838" w:rsidRDefault="000A570C" w:rsidP="000A570C">
      <w:pPr>
        <w:tabs>
          <w:tab w:val="num" w:pos="426"/>
        </w:tabs>
        <w:spacing w:after="120"/>
        <w:ind w:left="357"/>
        <w:jc w:val="both"/>
      </w:pPr>
      <w:r w:rsidRPr="00924838">
        <w:t>Kupní cena se rovná ceně plnění veřejné zakázky „</w:t>
      </w:r>
      <w:r w:rsidR="00DE5FAB">
        <w:t xml:space="preserve">Dodávka </w:t>
      </w:r>
      <w:r w:rsidR="00263970">
        <w:t>páteřních přepínačů</w:t>
      </w:r>
      <w:r w:rsidRPr="00924838">
        <w:t xml:space="preserve">“ uvedené v nabídce prodávajícího ze dne </w:t>
      </w:r>
      <w:proofErr w:type="gramStart"/>
      <w:r w:rsidRPr="00924838">
        <w:t>.....</w:t>
      </w:r>
      <w:r w:rsidR="00E45068">
        <w:t>.........,.</w:t>
      </w:r>
      <w:proofErr w:type="gramEnd"/>
    </w:p>
    <w:p w14:paraId="37DC3FE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78CFDB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Kupní cena bude zaplacena kupujícím na základě vystaveného daňového dokladu – faktury, kterou je prodávající oprávněn v</w:t>
      </w:r>
      <w:r>
        <w:t>ystavit až po předání</w:t>
      </w:r>
      <w:r w:rsidRPr="00380026">
        <w:t xml:space="preserve"> předmětu koupě</w:t>
      </w:r>
      <w:r>
        <w:t xml:space="preserve"> a jeho převzetí kupujícím</w:t>
      </w:r>
      <w:r w:rsidRPr="00380026">
        <w:t>.</w:t>
      </w:r>
      <w:r w:rsidRPr="00380026">
        <w:rPr>
          <w:snapToGrid w:val="0"/>
        </w:rPr>
        <w:t xml:space="preserve"> </w:t>
      </w:r>
      <w:r w:rsidRPr="00380026">
        <w:t>Podkladem pro vystavení faktury je Protokol o předání a převzetí předmětu koupě (dále i jako „Protokol“) stvrzený oběma smluvními stranami.</w:t>
      </w:r>
    </w:p>
    <w:p w14:paraId="16EE9CDE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5B04B163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Pro platby dle článku VI. této smlouvy platí přiměřeně platební podmínky jako pro vystavení a placení faktury.</w:t>
      </w:r>
    </w:p>
    <w:p w14:paraId="5E15FA68" w14:textId="77777777" w:rsidR="000A570C" w:rsidRPr="00742030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742030"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14:paraId="0C3440A6" w14:textId="77777777" w:rsidR="000A570C" w:rsidRPr="00742030" w:rsidRDefault="000A570C" w:rsidP="000A570C">
      <w:pPr>
        <w:spacing w:after="50"/>
        <w:ind w:left="709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Faktury prodávajícího musí obsahovat zejména:</w:t>
      </w:r>
    </w:p>
    <w:p w14:paraId="4BA0E41D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identifikační údaje kupujícího,</w:t>
      </w:r>
    </w:p>
    <w:p w14:paraId="765C152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identifikační údaje prodávajícího, </w:t>
      </w:r>
    </w:p>
    <w:p w14:paraId="45A3A91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označení banky a číslo účtu, na který má být úhrada provedena,</w:t>
      </w:r>
    </w:p>
    <w:p w14:paraId="3299EAC9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popis plnění,</w:t>
      </w:r>
    </w:p>
    <w:p w14:paraId="55D0F34A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vystavení a odeslání faktury,</w:t>
      </w:r>
    </w:p>
    <w:p w14:paraId="4C1248A8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datum uskutečnění zdanitelného plnění, </w:t>
      </w:r>
    </w:p>
    <w:p w14:paraId="747A28A6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splatnosti,</w:t>
      </w:r>
    </w:p>
    <w:p w14:paraId="0D765D6C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lastRenderedPageBreak/>
        <w:t>výši částky bez DPH celkem a základny podle sazeb DPH,</w:t>
      </w:r>
    </w:p>
    <w:p w14:paraId="10EAA81E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sazby DPH,</w:t>
      </w:r>
    </w:p>
    <w:p w14:paraId="15403D00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výši DPH celkem a podle základen, zaokrouhlené dle příslušných předpisů,</w:t>
      </w:r>
    </w:p>
    <w:p w14:paraId="5C70E205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cenu celkem včetně DPH,</w:t>
      </w:r>
    </w:p>
    <w:p w14:paraId="719BBC6B" w14:textId="77777777" w:rsidR="000A570C" w:rsidRPr="00742030" w:rsidRDefault="000A570C" w:rsidP="000A570C">
      <w:pPr>
        <w:numPr>
          <w:ilvl w:val="0"/>
          <w:numId w:val="12"/>
        </w:numPr>
        <w:spacing w:after="12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podpis, v případě elektronického odeslání jméno osoby, která fakturu vystavila,</w:t>
      </w:r>
    </w:p>
    <w:p w14:paraId="7E98569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353E0910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Cenu předmětu smlouvy nelze navyšovat. Kupující je oprávněn odečíst cenu neprovedených prací a dodávek vyčíslených podle nabídkového </w:t>
      </w:r>
      <w:r>
        <w:t>rozpočtu, jež tvoří přílohu č. 2</w:t>
      </w:r>
      <w:r w:rsidRPr="00380026">
        <w:t xml:space="preserve"> této smlouvy v případě snížení rozsahu prací, dodávek, dílčích změn technologií nebo materiálů odsouhlasených kupujícím a prodávajícím písemnou formou.</w:t>
      </w:r>
    </w:p>
    <w:p w14:paraId="27EE858D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Calibri"/>
        </w:rPr>
      </w:pPr>
    </w:p>
    <w:p w14:paraId="04864ACB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IV.</w:t>
      </w:r>
    </w:p>
    <w:p w14:paraId="2EEFF5AF" w14:textId="77777777" w:rsidR="000A570C" w:rsidRPr="00380026" w:rsidRDefault="000A570C" w:rsidP="000A570C">
      <w:pPr>
        <w:keepNext/>
        <w:spacing w:before="120"/>
        <w:jc w:val="center"/>
        <w:outlineLvl w:val="0"/>
        <w:rPr>
          <w:b/>
        </w:rPr>
      </w:pPr>
      <w:r w:rsidRPr="00380026">
        <w:rPr>
          <w:b/>
        </w:rPr>
        <w:t>Splnění závazku (dodání předmětu koupě)</w:t>
      </w:r>
    </w:p>
    <w:p w14:paraId="46B10D4C" w14:textId="77777777" w:rsidR="000A570C" w:rsidRPr="00380026" w:rsidRDefault="000A570C" w:rsidP="000A570C">
      <w:pPr>
        <w:keepNext/>
        <w:spacing w:after="120"/>
        <w:jc w:val="center"/>
        <w:outlineLvl w:val="0"/>
        <w:rPr>
          <w:b/>
          <w:bCs/>
        </w:rPr>
      </w:pPr>
      <w:r w:rsidRPr="00380026">
        <w:rPr>
          <w:b/>
          <w:bCs/>
        </w:rPr>
        <w:t xml:space="preserve">Přechod nebezpečí škody </w:t>
      </w:r>
      <w:r w:rsidRPr="005A7D7C">
        <w:rPr>
          <w:b/>
          <w:bCs/>
        </w:rPr>
        <w:t xml:space="preserve">a </w:t>
      </w:r>
      <w:r w:rsidRPr="00380026">
        <w:rPr>
          <w:b/>
          <w:bCs/>
        </w:rPr>
        <w:t>vlastnické právo k předmětu koupě</w:t>
      </w:r>
    </w:p>
    <w:p w14:paraId="1157E478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7913F2">
        <w:rPr>
          <w:rFonts w:eastAsia="Calibri"/>
        </w:rPr>
        <w:t>Předmět koupě není předáván a přebírán po částech.</w:t>
      </w:r>
    </w:p>
    <w:p w14:paraId="73E48A7C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21A1AE69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Vlastnické právo a nebezpečí škody na předmětu koupě přechází z prodávajícího na kupujícího okamžikem odevzdání a převzetí předmětu koupě dle bodu 1. tohoto čl.</w:t>
      </w:r>
    </w:p>
    <w:p w14:paraId="52ACB342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4665BEE5" w14:textId="77777777" w:rsidR="000A570C" w:rsidRPr="00380026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14:paraId="485941D0" w14:textId="77777777" w:rsidR="000A570C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A979E2E" w14:textId="77777777" w:rsidR="00EF59A6" w:rsidRDefault="00EF59A6" w:rsidP="000A570C">
      <w:pPr>
        <w:spacing w:before="120"/>
        <w:jc w:val="center"/>
        <w:rPr>
          <w:rFonts w:eastAsia="Calibri"/>
          <w:b/>
          <w:bCs/>
        </w:rPr>
      </w:pPr>
    </w:p>
    <w:p w14:paraId="459C00E2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V.</w:t>
      </w:r>
    </w:p>
    <w:p w14:paraId="0CDAC475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Odpovědnost prodávajícího za vady a jakost</w:t>
      </w:r>
    </w:p>
    <w:p w14:paraId="3FAF74A0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Předmět koupě má vady, </w:t>
      </w:r>
      <w:proofErr w:type="gramStart"/>
      <w:r w:rsidRPr="00380026">
        <w:t>neodpovídá–</w:t>
      </w:r>
      <w:proofErr w:type="spellStart"/>
      <w:r w:rsidRPr="00380026">
        <w:t>li</w:t>
      </w:r>
      <w:proofErr w:type="spellEnd"/>
      <w:proofErr w:type="gramEnd"/>
      <w:r w:rsidRPr="00380026">
        <w:t xml:space="preserve"> smlouvě.</w:t>
      </w:r>
    </w:p>
    <w:p w14:paraId="4919F9D6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odpovídá za vady, jež má předmět koupě v době jeho předání.</w:t>
      </w:r>
    </w:p>
    <w:p w14:paraId="04926D2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lastRenderedPageBreak/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14:paraId="610C8E4F" w14:textId="5F42B003" w:rsidR="00490582" w:rsidRDefault="000A570C" w:rsidP="00490582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poskytuje kupujícímu záruku za jakost, že předmět koupě bude po dobu záruční doby způsobilý pro použití ke smluvenému účelu nebo že si zachová obvykl</w:t>
      </w:r>
      <w:r w:rsidR="00B51859">
        <w:t>é vlastnosti.</w:t>
      </w:r>
      <w:r w:rsidR="00490582">
        <w:t xml:space="preserve"> Doba trvání podpory se sjednává na dobu 5 let na úrovni „</w:t>
      </w:r>
      <w:proofErr w:type="spellStart"/>
      <w:r w:rsidR="00490582">
        <w:t>next</w:t>
      </w:r>
      <w:proofErr w:type="spellEnd"/>
      <w:r w:rsidR="00490582">
        <w:t xml:space="preserve"> business </w:t>
      </w:r>
      <w:proofErr w:type="spellStart"/>
      <w:r w:rsidR="00490582">
        <w:t>day</w:t>
      </w:r>
      <w:proofErr w:type="spellEnd"/>
      <w:r w:rsidR="00490582">
        <w:t xml:space="preserve"> responze včetně poskytnutí výměny HW a poskytnutí SW upgradu na firmware požadovaných přepínačů po celou dobu 5 let.</w:t>
      </w:r>
    </w:p>
    <w:p w14:paraId="09612894" w14:textId="77777777" w:rsidR="000A570C" w:rsidRPr="00380026" w:rsidRDefault="000A570C" w:rsidP="00B51859">
      <w:pPr>
        <w:spacing w:before="120" w:after="120"/>
        <w:ind w:left="360"/>
        <w:jc w:val="both"/>
      </w:pPr>
      <w:r w:rsidRPr="00380026">
        <w:t xml:space="preserve">Smluvní strany se dohodly na tom, že po tutéž dobu odpovídá prodávající za vady předmětu koupě v době jeho předání. </w:t>
      </w:r>
    </w:p>
    <w:p w14:paraId="6F5E7CC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14:paraId="16E67F72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 případě, že lze vadu odstranit formou opravy, má právo na bezplatné odstranění reklamované v</w:t>
      </w:r>
      <w:r w:rsidR="00E45068">
        <w:rPr>
          <w:rFonts w:eastAsia="Calibri"/>
        </w:rPr>
        <w:t>ady do 24 hodin od přijetí reklamace</w:t>
      </w:r>
      <w:r w:rsidRPr="00380026">
        <w:rPr>
          <w:rFonts w:eastAsia="Calibri"/>
        </w:rPr>
        <w:t>,</w:t>
      </w:r>
    </w:p>
    <w:p w14:paraId="23B3EA18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14:paraId="48285E9B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vadu odstranit sám nebo prostřednictvím třetích osob s tím, že prodávající je povinen uhradit tyto náklady po předložení vyúčtování,</w:t>
      </w:r>
    </w:p>
    <w:p w14:paraId="4FC22983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požadovat nové dodání předmětu koupě pokud předmět koupě vykazuje podstatné vady bránící v užívání nebo toto znemožňují,</w:t>
      </w:r>
    </w:p>
    <w:p w14:paraId="66BF722F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odstoupit od smlouvy.</w:t>
      </w:r>
    </w:p>
    <w:p w14:paraId="598C6EFB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Uplatněním práv dle bodu 5. tohoto čl. nezaniká právo na náhradu škody či jiné sankce.</w:t>
      </w:r>
    </w:p>
    <w:p w14:paraId="7B8A8153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Jakékoliv finanční nároky dle bodu 5. tohoto čl. je kupující oprávněn uhradit ze zadržené kupní ceny nebo její části dle bodu 3. tohoto čl.</w:t>
      </w:r>
    </w:p>
    <w:p w14:paraId="0B904DC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</w:p>
    <w:p w14:paraId="3A05AD08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VI.</w:t>
      </w:r>
    </w:p>
    <w:p w14:paraId="06CBD38B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Porušení smluvních povinností</w:t>
      </w:r>
    </w:p>
    <w:p w14:paraId="547F217C" w14:textId="77777777" w:rsidR="000A570C" w:rsidRPr="00765654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 xml:space="preserve">Smluvní strany </w:t>
      </w:r>
      <w:r w:rsidRPr="00765654">
        <w:rPr>
          <w:rFonts w:eastAsia="Calibri"/>
        </w:rPr>
        <w:t>se zavazují zaplatit za každý den překročení sjednaného termínu splatnosti kteréhokoliv peněžitého závazku úrok z prodlení ve výši 0,05% z neuhrazené částky do jejího zaplacení.</w:t>
      </w:r>
    </w:p>
    <w:p w14:paraId="2C346F69" w14:textId="77777777" w:rsidR="000A570C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 w:rsidRPr="00380026">
        <w:rPr>
          <w:rFonts w:eastAsia="Calibri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72A2CF0E" w14:textId="77777777" w:rsidR="000A570C" w:rsidRDefault="000A570C" w:rsidP="000A570C">
      <w:pPr>
        <w:jc w:val="both"/>
        <w:rPr>
          <w:rFonts w:eastAsia="Calibri"/>
        </w:rPr>
      </w:pPr>
    </w:p>
    <w:p w14:paraId="6AEE49F7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VI</w:t>
      </w:r>
      <w:r w:rsidRPr="00380026">
        <w:rPr>
          <w:rFonts w:eastAsia="Calibri"/>
          <w:b/>
          <w:bCs/>
        </w:rPr>
        <w:t>I.</w:t>
      </w:r>
      <w:r w:rsidRPr="00380026">
        <w:rPr>
          <w:rFonts w:eastAsia="Calibri"/>
        </w:rPr>
        <w:br/>
      </w:r>
      <w:r w:rsidRPr="00380026">
        <w:rPr>
          <w:rFonts w:eastAsia="Calibri"/>
          <w:b/>
        </w:rPr>
        <w:t>Závěrečná ustanovení</w:t>
      </w:r>
    </w:p>
    <w:p w14:paraId="52986890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Pokud v této smlouvě není stanoveno jinak, řídí se právní vztahy z ní vyplývající příslušnými ustanovení občanského zákoníku.</w:t>
      </w:r>
    </w:p>
    <w:p w14:paraId="3BF0427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Tuto smlouvu lze měnit či doplňovat pouze po dohodě sml</w:t>
      </w:r>
      <w:r w:rsidR="002E0494">
        <w:t xml:space="preserve">uvních stran formou </w:t>
      </w:r>
      <w:r w:rsidR="002E0494">
        <w:lastRenderedPageBreak/>
        <w:t>písemných a</w:t>
      </w:r>
      <w:r w:rsidRPr="00380026">
        <w:t xml:space="preserve"> číslovaných dodatků. </w:t>
      </w:r>
    </w:p>
    <w:p w14:paraId="0B31B2A2" w14:textId="2B79834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</w:t>
      </w:r>
      <w:r w:rsidR="00DE5FAB">
        <w:t>o smlouva je vyhotovena v 2</w:t>
      </w:r>
      <w:r w:rsidRPr="00380026">
        <w:t xml:space="preserve"> </w:t>
      </w:r>
      <w:proofErr w:type="spellStart"/>
      <w:r w:rsidRPr="00380026">
        <w:t>paré</w:t>
      </w:r>
      <w:proofErr w:type="spellEnd"/>
      <w:r w:rsidRPr="00380026">
        <w:t xml:space="preserve"> s platností originálu</w:t>
      </w:r>
      <w:r w:rsidR="00DE5FAB">
        <w:t>, přičemž kupující</w:t>
      </w:r>
      <w:r w:rsidR="00C85B57">
        <w:t xml:space="preserve"> </w:t>
      </w:r>
      <w:r w:rsidR="00DE5FAB">
        <w:t>obdrží 1</w:t>
      </w:r>
      <w:r>
        <w:t xml:space="preserve"> vyhotovení a prodávající 1</w:t>
      </w:r>
      <w:r w:rsidRPr="00380026">
        <w:t xml:space="preserve"> vyhotovení.</w:t>
      </w:r>
    </w:p>
    <w:p w14:paraId="0C9EB29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Tato smlouva nabývá platnosti a účinnosti dnem jejího podepsání oběma smluvními stranami a tímto dnem jsou její účastníci svými projevy vázáni.</w:t>
      </w:r>
    </w:p>
    <w:p w14:paraId="3F35239E" w14:textId="6FAE11DB" w:rsidR="000A570C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742030">
        <w:t xml:space="preserve">Nedílnou součástí smluvních ujednání podle této smlouvy je </w:t>
      </w:r>
      <w:r>
        <w:t xml:space="preserve">příloha č. 1 s </w:t>
      </w:r>
      <w:r>
        <w:rPr>
          <w:rFonts w:eastAsia="Calibri"/>
        </w:rPr>
        <w:t>přesnou specifikací předmětu koupě</w:t>
      </w:r>
      <w:r>
        <w:t xml:space="preserve"> </w:t>
      </w:r>
      <w:r w:rsidR="00E45068">
        <w:t xml:space="preserve">nebo nabídka </w:t>
      </w:r>
      <w:r w:rsidRPr="00742030">
        <w:t>prodávajícího ze dne ................................</w:t>
      </w:r>
    </w:p>
    <w:p w14:paraId="3499251C" w14:textId="77777777" w:rsidR="00490582" w:rsidRPr="00742030" w:rsidRDefault="00490582" w:rsidP="00490582">
      <w:pPr>
        <w:widowControl w:val="0"/>
        <w:autoSpaceDE w:val="0"/>
        <w:autoSpaceDN w:val="0"/>
        <w:adjustRightInd w:val="0"/>
        <w:spacing w:before="120" w:after="120"/>
        <w:ind w:left="426"/>
        <w:jc w:val="both"/>
      </w:pPr>
    </w:p>
    <w:p w14:paraId="74A42E0D" w14:textId="77777777" w:rsidR="000A570C" w:rsidRPr="00380026" w:rsidRDefault="000A570C" w:rsidP="000A570C">
      <w:pPr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IX.</w:t>
      </w:r>
    </w:p>
    <w:p w14:paraId="598797C4" w14:textId="77777777" w:rsidR="000A570C" w:rsidRPr="00380026" w:rsidRDefault="000A570C" w:rsidP="000A570C">
      <w:pPr>
        <w:spacing w:after="24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Podpisy smluvních stran</w:t>
      </w:r>
    </w:p>
    <w:p w14:paraId="41D61B89" w14:textId="77777777" w:rsidR="000A570C" w:rsidRDefault="000A570C" w:rsidP="000A570C">
      <w:pPr>
        <w:numPr>
          <w:ilvl w:val="6"/>
          <w:numId w:val="10"/>
        </w:numPr>
        <w:spacing w:after="120"/>
        <w:ind w:left="493" w:hanging="425"/>
        <w:jc w:val="both"/>
        <w:rPr>
          <w:rFonts w:eastAsia="Calibri"/>
        </w:rPr>
      </w:pPr>
      <w:r w:rsidRPr="00380026">
        <w:rPr>
          <w:rFonts w:eastAsia="Calibri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674386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40963CC1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5EA5801E" w14:textId="77777777" w:rsidR="00490582" w:rsidRPr="00380026" w:rsidRDefault="00490582" w:rsidP="00490582">
      <w:pPr>
        <w:spacing w:after="120"/>
        <w:jc w:val="both"/>
        <w:rPr>
          <w:rFonts w:eastAsia="Calibri"/>
        </w:rPr>
      </w:pPr>
    </w:p>
    <w:p w14:paraId="4DEB2EBC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after="120"/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A570C" w:rsidRPr="00380026" w14:paraId="39B0B9D5" w14:textId="77777777" w:rsidTr="00CD59B2">
        <w:tc>
          <w:tcPr>
            <w:tcW w:w="4606" w:type="dxa"/>
          </w:tcPr>
          <w:p w14:paraId="526CC593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</w:t>
            </w:r>
            <w:proofErr w:type="gramStart"/>
            <w:r w:rsidRPr="00380026">
              <w:rPr>
                <w:rFonts w:eastAsia="Calibri"/>
              </w:rPr>
              <w:t>…….</w:t>
            </w:r>
            <w:proofErr w:type="gramEnd"/>
            <w:r w:rsidRPr="00380026">
              <w:rPr>
                <w:rFonts w:eastAsia="Calibri"/>
              </w:rPr>
              <w:t>. dne …………………</w:t>
            </w:r>
          </w:p>
          <w:p w14:paraId="0E30EE18" w14:textId="77777777" w:rsidR="000A570C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  <w:p w14:paraId="31E48C18" w14:textId="77777777" w:rsidR="00490582" w:rsidRPr="00380026" w:rsidRDefault="00490582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7DF399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………………… dne …………</w:t>
            </w:r>
            <w:proofErr w:type="gramStart"/>
            <w:r w:rsidRPr="00380026">
              <w:rPr>
                <w:rFonts w:eastAsia="Calibri"/>
              </w:rPr>
              <w:t>…….</w:t>
            </w:r>
            <w:proofErr w:type="gramEnd"/>
            <w:r w:rsidRPr="00380026">
              <w:rPr>
                <w:rFonts w:eastAsia="Calibri"/>
              </w:rPr>
              <w:t>.</w:t>
            </w:r>
          </w:p>
        </w:tc>
      </w:tr>
      <w:tr w:rsidR="000A570C" w:rsidRPr="00380026" w14:paraId="47B36B20" w14:textId="77777777" w:rsidTr="00CD59B2">
        <w:tc>
          <w:tcPr>
            <w:tcW w:w="4606" w:type="dxa"/>
          </w:tcPr>
          <w:p w14:paraId="4BD5FCC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B4EC39E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………………………………………………</w:t>
            </w:r>
          </w:p>
        </w:tc>
      </w:tr>
      <w:tr w:rsidR="000A570C" w:rsidRPr="00380026" w14:paraId="62D8AA56" w14:textId="77777777" w:rsidTr="00CD59B2">
        <w:tc>
          <w:tcPr>
            <w:tcW w:w="4606" w:type="dxa"/>
          </w:tcPr>
          <w:p w14:paraId="492185AA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Prodávající</w:t>
            </w:r>
          </w:p>
          <w:p w14:paraId="261198D6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210790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A2BCD2B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D6ACAC1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Kupující</w:t>
            </w:r>
          </w:p>
          <w:p w14:paraId="74F129AC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2D0B9303" w14:textId="77777777" w:rsidR="000A570C" w:rsidRPr="00380026" w:rsidRDefault="000A570C" w:rsidP="000A570C">
      <w:pPr>
        <w:spacing w:after="220"/>
        <w:rPr>
          <w:rFonts w:eastAsia="Calibri"/>
        </w:rPr>
      </w:pPr>
    </w:p>
    <w:p w14:paraId="3013B7E7" w14:textId="77777777" w:rsidR="000A570C" w:rsidRPr="00924838" w:rsidRDefault="000A570C" w:rsidP="000A570C">
      <w:pPr>
        <w:rPr>
          <w:rFonts w:eastAsia="Calibri"/>
          <w:b/>
          <w:i/>
        </w:rPr>
      </w:pPr>
      <w:r w:rsidRPr="00924838">
        <w:rPr>
          <w:rFonts w:eastAsia="Calibri"/>
          <w:b/>
          <w:i/>
        </w:rPr>
        <w:t>Přílohy:</w:t>
      </w:r>
    </w:p>
    <w:p w14:paraId="7F82DC46" w14:textId="77777777" w:rsidR="000A570C" w:rsidRPr="00E45068" w:rsidRDefault="000A570C" w:rsidP="00E45068">
      <w:r>
        <w:rPr>
          <w:rFonts w:eastAsia="Calibri"/>
        </w:rPr>
        <w:t>Příloha č. 1 -  přesná specifikace předmětu koupě</w:t>
      </w:r>
      <w:r w:rsidR="00E45068">
        <w:t xml:space="preserve"> nebo </w:t>
      </w:r>
      <w:r w:rsidRPr="00742030">
        <w:rPr>
          <w:rFonts w:eastAsia="Calibri"/>
        </w:rPr>
        <w:t>nabíd</w:t>
      </w:r>
      <w:r>
        <w:rPr>
          <w:rFonts w:eastAsia="Calibri"/>
        </w:rPr>
        <w:t>ka vybraného uchazeče</w:t>
      </w:r>
      <w:r w:rsidRPr="00742030">
        <w:rPr>
          <w:rFonts w:eastAsia="Calibri"/>
        </w:rPr>
        <w:t xml:space="preserve"> pro veřejnou zakázku malého rozsahu s názvem “</w:t>
      </w:r>
      <w:r w:rsidR="00DE5FAB">
        <w:t xml:space="preserve">Dodávka </w:t>
      </w:r>
      <w:r w:rsidR="00263970">
        <w:t>páteřních přepínačů</w:t>
      </w:r>
      <w:r w:rsidRPr="00742030">
        <w:rPr>
          <w:rFonts w:eastAsia="Calibri"/>
        </w:rPr>
        <w:t>“</w:t>
      </w:r>
    </w:p>
    <w:p w14:paraId="5A4974F2" w14:textId="77777777" w:rsidR="00CD2AD4" w:rsidRDefault="00CD2AD4"/>
    <w:sectPr w:rsidR="00CD2A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A528" w14:textId="77777777" w:rsidR="00DA7F65" w:rsidRDefault="00DA7F65" w:rsidP="000A570C">
      <w:r>
        <w:separator/>
      </w:r>
    </w:p>
  </w:endnote>
  <w:endnote w:type="continuationSeparator" w:id="0">
    <w:p w14:paraId="0309E994" w14:textId="77777777" w:rsidR="00DA7F65" w:rsidRDefault="00DA7F65" w:rsidP="000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F04E" w14:textId="77777777" w:rsidR="00DA7F65" w:rsidRDefault="00DA7F65" w:rsidP="000A570C">
      <w:r>
        <w:separator/>
      </w:r>
    </w:p>
  </w:footnote>
  <w:footnote w:type="continuationSeparator" w:id="0">
    <w:p w14:paraId="5AFF6018" w14:textId="77777777" w:rsidR="00DA7F65" w:rsidRDefault="00DA7F65" w:rsidP="000A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B3A2" w14:textId="16273444" w:rsidR="00794186" w:rsidRDefault="00490582">
    <w:pPr>
      <w:pStyle w:val="Zhlav"/>
    </w:pPr>
    <w:proofErr w:type="spellStart"/>
    <w:r>
      <w:t>ev.č</w:t>
    </w:r>
    <w:proofErr w:type="spellEnd"/>
    <w:r>
      <w:t>.:</w:t>
    </w:r>
    <w:r w:rsidR="00EB7DC7">
      <w:t xml:space="preserve">           </w:t>
    </w:r>
    <w:r>
      <w:t>/48683795/2020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70A31C2"/>
    <w:multiLevelType w:val="hybridMultilevel"/>
    <w:tmpl w:val="A8206354"/>
    <w:lvl w:ilvl="0" w:tplc="0406D1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2B44"/>
    <w:multiLevelType w:val="hybridMultilevel"/>
    <w:tmpl w:val="FEA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0C"/>
    <w:rsid w:val="000A570C"/>
    <w:rsid w:val="000B691E"/>
    <w:rsid w:val="00151A82"/>
    <w:rsid w:val="001A4404"/>
    <w:rsid w:val="001B7AB9"/>
    <w:rsid w:val="00232627"/>
    <w:rsid w:val="00263970"/>
    <w:rsid w:val="00274252"/>
    <w:rsid w:val="002E0494"/>
    <w:rsid w:val="00324FDA"/>
    <w:rsid w:val="003373F6"/>
    <w:rsid w:val="003B77C3"/>
    <w:rsid w:val="00490582"/>
    <w:rsid w:val="00570644"/>
    <w:rsid w:val="006771D5"/>
    <w:rsid w:val="00682B83"/>
    <w:rsid w:val="00794186"/>
    <w:rsid w:val="007E3916"/>
    <w:rsid w:val="00827BA9"/>
    <w:rsid w:val="00886D91"/>
    <w:rsid w:val="009D412A"/>
    <w:rsid w:val="00A04548"/>
    <w:rsid w:val="00A5595A"/>
    <w:rsid w:val="00B25824"/>
    <w:rsid w:val="00B51859"/>
    <w:rsid w:val="00BC65BF"/>
    <w:rsid w:val="00C41877"/>
    <w:rsid w:val="00C85B57"/>
    <w:rsid w:val="00CA5C09"/>
    <w:rsid w:val="00CD2AD4"/>
    <w:rsid w:val="00DA7F65"/>
    <w:rsid w:val="00DE5FAB"/>
    <w:rsid w:val="00E45068"/>
    <w:rsid w:val="00E52A8B"/>
    <w:rsid w:val="00EB7DC7"/>
    <w:rsid w:val="00EF59A6"/>
    <w:rsid w:val="00F22C3A"/>
    <w:rsid w:val="00FB6FAE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0940"/>
  <w15:docId w15:val="{6F94465F-FF74-4C5B-8D31-58498E2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57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0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1859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90582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90582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5D3F544755349B1AE17EEAD98E8D3" ma:contentTypeVersion="13" ma:contentTypeDescription="Vytvoří nový dokument" ma:contentTypeScope="" ma:versionID="1214f8c024a0857fd5aa134c5474c5a1">
  <xsd:schema xmlns:xsd="http://www.w3.org/2001/XMLSchema" xmlns:xs="http://www.w3.org/2001/XMLSchema" xmlns:p="http://schemas.microsoft.com/office/2006/metadata/properties" xmlns:ns3="411941ee-08cf-4420-b0a4-6d1743c42a0d" xmlns:ns4="10244ab5-c5a8-4da9-b0e2-57c69ca1e7bd" targetNamespace="http://schemas.microsoft.com/office/2006/metadata/properties" ma:root="true" ma:fieldsID="4e9beb4988710becb1db282a7edb21c6" ns3:_="" ns4:_="">
    <xsd:import namespace="411941ee-08cf-4420-b0a4-6d1743c42a0d"/>
    <xsd:import namespace="10244ab5-c5a8-4da9-b0e2-57c69ca1e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41ee-08cf-4420-b0a4-6d1743c4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4ab5-c5a8-4da9-b0e2-57c69ca1e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02501-2AA5-415D-8B9D-71CB832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327E2-F411-4D8C-849D-B932C5D3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41ee-08cf-4420-b0a4-6d1743c42a0d"/>
    <ds:schemaRef ds:uri="10244ab5-c5a8-4da9-b0e2-57c69ca1e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D4C05-7F7F-40A0-8E79-CFCD5DFE2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Václav Bohata</cp:lastModifiedBy>
  <cp:revision>11</cp:revision>
  <dcterms:created xsi:type="dcterms:W3CDTF">2020-05-10T17:21:00Z</dcterms:created>
  <dcterms:modified xsi:type="dcterms:W3CDTF">2020-05-21T19:07:00Z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0x0101004805D3F544755349B1AE17EEAD98E8D3</vt:lpwstr>
  </property>
</Properties>
</file>