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81E17CC" w14:textId="68D6CC91" w:rsidR="0084301E" w:rsidRPr="0084301E" w:rsidRDefault="00C04EA1">
      <w:pPr>
        <w:pStyle w:val="Obsah1"/>
        <w:tabs>
          <w:tab w:val="left" w:pos="1134"/>
          <w:tab w:val="right" w:leader="dot" w:pos="9062"/>
        </w:tabs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r w:rsidRPr="0084301E">
        <w:rPr>
          <w:rFonts w:asciiTheme="minorHAnsi" w:hAnsiTheme="minorHAnsi" w:cstheme="minorHAnsi"/>
          <w:sz w:val="18"/>
          <w:szCs w:val="18"/>
        </w:rPr>
        <w:fldChar w:fldCharType="begin"/>
      </w:r>
      <w:r w:rsidRPr="0084301E">
        <w:rPr>
          <w:rFonts w:asciiTheme="minorHAnsi" w:hAnsiTheme="minorHAnsi" w:cstheme="minorHAnsi"/>
          <w:sz w:val="18"/>
          <w:szCs w:val="18"/>
        </w:rPr>
        <w:instrText xml:space="preserve"> TOC \o "1-3" \h \z \u </w:instrText>
      </w:r>
      <w:r w:rsidRPr="0084301E">
        <w:rPr>
          <w:rFonts w:asciiTheme="minorHAnsi" w:hAnsiTheme="minorHAnsi" w:cstheme="minorHAnsi"/>
          <w:sz w:val="18"/>
          <w:szCs w:val="18"/>
        </w:rPr>
        <w:fldChar w:fldCharType="separate"/>
      </w:r>
      <w:hyperlink w:anchor="_Toc36726753" w:history="1">
        <w:r w:rsidR="0084301E"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B 0</w:t>
        </w:r>
        <w:r w:rsidR="0084301E" w:rsidRPr="0084301E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="0084301E"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ÚVOD</w:t>
        </w:r>
        <w:r w:rsidR="0084301E"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="0084301E"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="0084301E"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_Toc36726753 \h </w:instrText>
        </w:r>
        <w:r w:rsidR="0084301E"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="0084301E"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 w:rsid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>2</w:t>
        </w:r>
        <w:r w:rsidR="0084301E"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0583AAA1" w14:textId="683CC929" w:rsidR="0084301E" w:rsidRPr="0084301E" w:rsidRDefault="0084301E">
      <w:pPr>
        <w:pStyle w:val="Obsah3"/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36726754" w:history="1"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a )</w:t>
        </w:r>
        <w:r w:rsidRPr="0084301E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Požadavky na zpracování dodavatelské dokumentace stavby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_Toc36726754 \h </w:instrTex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webHidden/>
            <w:sz w:val="18"/>
            <w:szCs w:val="18"/>
          </w:rPr>
          <w:t>2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27359AD6" w14:textId="74157B9E" w:rsidR="0084301E" w:rsidRPr="0084301E" w:rsidRDefault="0084301E">
      <w:pPr>
        <w:pStyle w:val="Obsah3"/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36726755" w:history="1"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b )</w:t>
        </w:r>
        <w:r w:rsidRPr="0084301E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Požadavky na zpracování plánu bezpečnosti a ochrany zdraví při práci na staveništi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_Toc36726755 \h </w:instrTex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webHidden/>
            <w:sz w:val="18"/>
            <w:szCs w:val="18"/>
          </w:rPr>
          <w:t>2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4E81CDFF" w14:textId="2E7555D5" w:rsidR="0084301E" w:rsidRPr="0084301E" w:rsidRDefault="0084301E">
      <w:pPr>
        <w:pStyle w:val="Obsah3"/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36726756" w:history="1"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c )</w:t>
        </w:r>
        <w:r w:rsidRPr="0084301E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Podmínky realizace prací, budou-li prováděny v ochranných nebo bezpečnostních pásmech jiných staveb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_Toc36726756 \h </w:instrTex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webHidden/>
            <w:sz w:val="18"/>
            <w:szCs w:val="18"/>
          </w:rPr>
          <w:t>2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64C889B3" w14:textId="22389DE2" w:rsidR="0084301E" w:rsidRPr="0084301E" w:rsidRDefault="0084301E">
      <w:pPr>
        <w:pStyle w:val="Obsah3"/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36726757" w:history="1"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d )</w:t>
        </w:r>
        <w:r w:rsidRPr="0084301E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Zvláštní podmínky a požadavky na organizaci staveniště a provádění prací na něm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_Toc36726757 \h </w:instrTex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webHidden/>
            <w:sz w:val="18"/>
            <w:szCs w:val="18"/>
          </w:rPr>
          <w:t>2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7C577E9A" w14:textId="34A79224" w:rsidR="0084301E" w:rsidRPr="0084301E" w:rsidRDefault="0084301E">
      <w:pPr>
        <w:pStyle w:val="Obsah3"/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36726758" w:history="1"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e )</w:t>
        </w:r>
        <w:r w:rsidRPr="0084301E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Ochrana životního prostředí při výstavbě.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_Toc36726758 \h </w:instrTex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webHidden/>
            <w:sz w:val="18"/>
            <w:szCs w:val="18"/>
          </w:rPr>
          <w:t>2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  <w:bookmarkStart w:id="0" w:name="_GoBack"/>
      <w:bookmarkEnd w:id="0"/>
    </w:p>
    <w:p w14:paraId="43A0CD56" w14:textId="2254B190" w:rsidR="0084301E" w:rsidRPr="0084301E" w:rsidRDefault="0084301E">
      <w:pPr>
        <w:pStyle w:val="Obsah1"/>
        <w:tabs>
          <w:tab w:val="left" w:pos="1134"/>
          <w:tab w:val="right" w:leader="dot" w:pos="9062"/>
        </w:tabs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36726759" w:history="1"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B 1</w:t>
        </w:r>
        <w:r w:rsidRPr="0084301E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Popis území stavby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_Toc36726759 \h </w:instrTex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webHidden/>
            <w:sz w:val="18"/>
            <w:szCs w:val="18"/>
          </w:rPr>
          <w:t>2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0AF22B98" w14:textId="19BBFF62" w:rsidR="0084301E" w:rsidRPr="0084301E" w:rsidRDefault="0084301E">
      <w:pPr>
        <w:pStyle w:val="Obsah3"/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36726760" w:history="1"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a )</w:t>
        </w:r>
        <w:r w:rsidRPr="0084301E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Charakteristika území a stavebního pozemku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_Toc36726760 \h </w:instrTex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webHidden/>
            <w:sz w:val="18"/>
            <w:szCs w:val="18"/>
          </w:rPr>
          <w:t>2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077F2769" w14:textId="4592FEF0" w:rsidR="0084301E" w:rsidRPr="0084301E" w:rsidRDefault="0084301E">
      <w:pPr>
        <w:pStyle w:val="Obsah3"/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36726761" w:history="1"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b )</w:t>
        </w:r>
        <w:r w:rsidRPr="0084301E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Údaje o souladu u s územním rozhodnutím nebo regulačním plánem nebo veřejnoprávní smlouvou územní rozhodnutí nahrazující anebo územním souhlasem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_Toc36726761 \h </w:instrTex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webHidden/>
            <w:sz w:val="18"/>
            <w:szCs w:val="18"/>
          </w:rPr>
          <w:t>2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34179BAC" w14:textId="62ADF9FD" w:rsidR="0084301E" w:rsidRPr="0084301E" w:rsidRDefault="0084301E">
      <w:pPr>
        <w:pStyle w:val="Obsah3"/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36726762" w:history="1"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c )</w:t>
        </w:r>
        <w:r w:rsidRPr="0084301E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Údaje o souladu s územně plánovací dokumentací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_Toc36726762 \h </w:instrTex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webHidden/>
            <w:sz w:val="18"/>
            <w:szCs w:val="18"/>
          </w:rPr>
          <w:t>2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08BBD5A0" w14:textId="3B9D4585" w:rsidR="0084301E" w:rsidRPr="0084301E" w:rsidRDefault="0084301E">
      <w:pPr>
        <w:pStyle w:val="Obsah3"/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36726763" w:history="1"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d )</w:t>
        </w:r>
        <w:r w:rsidRPr="0084301E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Informace o vydaných rozhodnutích o povolení výjimky z obecných požadavků na využívání území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_Toc36726763 \h </w:instrTex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webHidden/>
            <w:sz w:val="18"/>
            <w:szCs w:val="18"/>
          </w:rPr>
          <w:t>2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28FF212F" w14:textId="3A25D90C" w:rsidR="0084301E" w:rsidRPr="0084301E" w:rsidRDefault="0084301E">
      <w:pPr>
        <w:pStyle w:val="Obsah3"/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36726764" w:history="1"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e )</w:t>
        </w:r>
        <w:r w:rsidRPr="0084301E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Informace o tom, zda a v jakých částech dokumentace jsou zohledněny podmínky závazných stanovisek dotčených orgánů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_Toc36726764 \h </w:instrTex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webHidden/>
            <w:sz w:val="18"/>
            <w:szCs w:val="18"/>
          </w:rPr>
          <w:t>2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5EA8DB8B" w14:textId="1B562C72" w:rsidR="0084301E" w:rsidRPr="0084301E" w:rsidRDefault="0084301E">
      <w:pPr>
        <w:pStyle w:val="Obsah3"/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36726765" w:history="1"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f )</w:t>
        </w:r>
        <w:r w:rsidRPr="0084301E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Výčet a závěry provedených průzkumů a rozborů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_Toc36726765 \h </w:instrTex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webHidden/>
            <w:sz w:val="18"/>
            <w:szCs w:val="18"/>
          </w:rPr>
          <w:t>3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0EFB4AAD" w14:textId="49DAF03E" w:rsidR="0084301E" w:rsidRPr="0084301E" w:rsidRDefault="0084301E">
      <w:pPr>
        <w:pStyle w:val="Obsah3"/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36726766" w:history="1"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g )</w:t>
        </w:r>
        <w:r w:rsidRPr="0084301E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Ochrana území podle jiných právních předpisů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_Toc36726766 \h </w:instrTex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webHidden/>
            <w:sz w:val="18"/>
            <w:szCs w:val="18"/>
          </w:rPr>
          <w:t>3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596C86E5" w14:textId="6A46D475" w:rsidR="0084301E" w:rsidRPr="0084301E" w:rsidRDefault="0084301E">
      <w:pPr>
        <w:pStyle w:val="Obsah3"/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36726767" w:history="1"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h )</w:t>
        </w:r>
        <w:r w:rsidRPr="0084301E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Poloha vzhledem k záplavovému území, poddolovanému území apod.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_Toc36726767 \h </w:instrTex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webHidden/>
            <w:sz w:val="18"/>
            <w:szCs w:val="18"/>
          </w:rPr>
          <w:t>3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337FD3F0" w14:textId="626AF1A3" w:rsidR="0084301E" w:rsidRPr="0084301E" w:rsidRDefault="0084301E">
      <w:pPr>
        <w:pStyle w:val="Obsah3"/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36726768" w:history="1"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i )</w:t>
        </w:r>
        <w:r w:rsidRPr="0084301E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Vliv stavby na okolní stavby a pozemky, ochrana okolí, vliv stavby na odtokové poměry v území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_Toc36726768 \h </w:instrTex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webHidden/>
            <w:sz w:val="18"/>
            <w:szCs w:val="18"/>
          </w:rPr>
          <w:t>3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49F2625F" w14:textId="0969AA5D" w:rsidR="0084301E" w:rsidRPr="0084301E" w:rsidRDefault="0084301E">
      <w:pPr>
        <w:pStyle w:val="Obsah3"/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36726769" w:history="1"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j )</w:t>
        </w:r>
        <w:r w:rsidRPr="0084301E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Požadavky na asanace, demolice, kácení dřevin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_Toc36726769 \h </w:instrTex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webHidden/>
            <w:sz w:val="18"/>
            <w:szCs w:val="18"/>
          </w:rPr>
          <w:t>3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72B4BB96" w14:textId="265CF6C5" w:rsidR="0084301E" w:rsidRPr="0084301E" w:rsidRDefault="0084301E">
      <w:pPr>
        <w:pStyle w:val="Obsah3"/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36726770" w:history="1"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k )</w:t>
        </w:r>
        <w:r w:rsidRPr="0084301E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Požadavky na maximální dočasné a trvalé zábory zemědělského půdního fondu nebo pozemků určených k plnění funkce lesa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_Toc36726770 \h </w:instrTex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webHidden/>
            <w:sz w:val="18"/>
            <w:szCs w:val="18"/>
          </w:rPr>
          <w:t>3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1A8D6AF9" w14:textId="0B6770CA" w:rsidR="0084301E" w:rsidRPr="0084301E" w:rsidRDefault="0084301E">
      <w:pPr>
        <w:pStyle w:val="Obsah3"/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36726771" w:history="1">
        <w:r w:rsidRPr="0084301E">
          <w:rPr>
            <w:rStyle w:val="Hypertextovodkaz"/>
            <w:rFonts w:asciiTheme="minorHAnsi" w:hAnsiTheme="minorHAnsi" w:cstheme="minorHAnsi"/>
            <w:i/>
            <w:noProof/>
            <w:sz w:val="18"/>
            <w:szCs w:val="18"/>
          </w:rPr>
          <w:t>l )</w:t>
        </w:r>
        <w:r w:rsidRPr="0084301E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Územně technické podmínky (zejména možnost napojení na stávající dopravní a technickou infrastrukturu)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_Toc36726771 \h </w:instrTex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webHidden/>
            <w:sz w:val="18"/>
            <w:szCs w:val="18"/>
          </w:rPr>
          <w:t>3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3E4D8123" w14:textId="3B9ADBF1" w:rsidR="0084301E" w:rsidRPr="0084301E" w:rsidRDefault="0084301E">
      <w:pPr>
        <w:pStyle w:val="Obsah3"/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36726772" w:history="1"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m )</w:t>
        </w:r>
        <w:r w:rsidRPr="0084301E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Věcné a časové vazby stavby, podmiňující, vyvolané, související investice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_Toc36726772 \h </w:instrTex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webHidden/>
            <w:sz w:val="18"/>
            <w:szCs w:val="18"/>
          </w:rPr>
          <w:t>3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3E5FFBC6" w14:textId="436D57AD" w:rsidR="0084301E" w:rsidRPr="0084301E" w:rsidRDefault="0084301E">
      <w:pPr>
        <w:pStyle w:val="Obsah3"/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36726773" w:history="1"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n )</w:t>
        </w:r>
        <w:r w:rsidRPr="0084301E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Seznam pozemků a staveb dotčených umístěním a prováděním stavby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_Toc36726773 \h </w:instrTex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webHidden/>
            <w:sz w:val="18"/>
            <w:szCs w:val="18"/>
          </w:rPr>
          <w:t>3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034AAF87" w14:textId="4C92F029" w:rsidR="0084301E" w:rsidRPr="0084301E" w:rsidRDefault="0084301E">
      <w:pPr>
        <w:pStyle w:val="Obsah3"/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36726774" w:history="1"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o )</w:t>
        </w:r>
        <w:r w:rsidRPr="0084301E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Seznam pozemků podle katastru nemovitostí, na kterých vznikne ochranné nebo bezpečnostní pásmo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_Toc36726774 \h </w:instrTex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webHidden/>
            <w:sz w:val="18"/>
            <w:szCs w:val="18"/>
          </w:rPr>
          <w:t>3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633C844A" w14:textId="6EE9E19A" w:rsidR="0084301E" w:rsidRPr="0084301E" w:rsidRDefault="0084301E">
      <w:pPr>
        <w:pStyle w:val="Obsah1"/>
        <w:tabs>
          <w:tab w:val="left" w:pos="1134"/>
          <w:tab w:val="right" w:leader="dot" w:pos="9062"/>
        </w:tabs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36726775" w:history="1"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B 2</w:t>
        </w:r>
        <w:r w:rsidRPr="0084301E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Celkový popis stavby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_Toc36726775 \h </w:instrTex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webHidden/>
            <w:sz w:val="18"/>
            <w:szCs w:val="18"/>
          </w:rPr>
          <w:t>4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23ABF835" w14:textId="705D8223" w:rsidR="0084301E" w:rsidRPr="0084301E" w:rsidRDefault="0084301E">
      <w:pPr>
        <w:pStyle w:val="Obsah2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36726776" w:history="1"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B 2.1</w:t>
        </w:r>
        <w:r w:rsidRPr="0084301E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Účel užívání stavby, základní kapacity funkčních jednotek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_Toc36726776 \h </w:instrTex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webHidden/>
            <w:sz w:val="18"/>
            <w:szCs w:val="18"/>
          </w:rPr>
          <w:t>4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175DD443" w14:textId="6524CFCE" w:rsidR="0084301E" w:rsidRPr="0084301E" w:rsidRDefault="0084301E">
      <w:pPr>
        <w:pStyle w:val="Obsah3"/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36726777" w:history="1"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a )</w:t>
        </w:r>
        <w:r w:rsidRPr="0084301E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Nová stavba nebo změna dokončené stavby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_Toc36726777 \h </w:instrTex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webHidden/>
            <w:sz w:val="18"/>
            <w:szCs w:val="18"/>
          </w:rPr>
          <w:t>4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05A4BB00" w14:textId="01E39D10" w:rsidR="0084301E" w:rsidRPr="0084301E" w:rsidRDefault="0084301E">
      <w:pPr>
        <w:pStyle w:val="Obsah3"/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36726778" w:history="1"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b )</w:t>
        </w:r>
        <w:r w:rsidRPr="0084301E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Účel užívání stavby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_Toc36726778 \h </w:instrTex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webHidden/>
            <w:sz w:val="18"/>
            <w:szCs w:val="18"/>
          </w:rPr>
          <w:t>4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1BA6AC5E" w14:textId="570EA0E0" w:rsidR="0084301E" w:rsidRPr="0084301E" w:rsidRDefault="0084301E">
      <w:pPr>
        <w:pStyle w:val="Obsah3"/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36726779" w:history="1"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c )</w:t>
        </w:r>
        <w:r w:rsidRPr="0084301E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Trvalá nebo dočasná stavba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_Toc36726779 \h </w:instrTex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webHidden/>
            <w:sz w:val="18"/>
            <w:szCs w:val="18"/>
          </w:rPr>
          <w:t>4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642F62EB" w14:textId="668941FA" w:rsidR="0084301E" w:rsidRPr="0084301E" w:rsidRDefault="0084301E">
      <w:pPr>
        <w:pStyle w:val="Obsah3"/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36726780" w:history="1"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d )</w:t>
        </w:r>
        <w:r w:rsidRPr="0084301E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Informace o vydaných rozhodnutích o povolení výjimky z technických požadavků na stavby a technických požadavků zabezpečujících bezbariérové užívání stavby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_Toc36726780 \h </w:instrTex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webHidden/>
            <w:sz w:val="18"/>
            <w:szCs w:val="18"/>
          </w:rPr>
          <w:t>4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08F2CA3C" w14:textId="4CB49F8C" w:rsidR="0084301E" w:rsidRPr="0084301E" w:rsidRDefault="0084301E">
      <w:pPr>
        <w:pStyle w:val="Obsah3"/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36726781" w:history="1"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e )</w:t>
        </w:r>
        <w:r w:rsidRPr="0084301E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Informace o tom, zda a v jakých částech dokumentace jsou zohledněny podmínky závazných stanovisek dotčených orgánů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_Toc36726781 \h </w:instrTex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webHidden/>
            <w:sz w:val="18"/>
            <w:szCs w:val="18"/>
          </w:rPr>
          <w:t>4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654512BF" w14:textId="2E06D7C1" w:rsidR="0084301E" w:rsidRPr="0084301E" w:rsidRDefault="0084301E">
      <w:pPr>
        <w:pStyle w:val="Obsah3"/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36726782" w:history="1"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f )</w:t>
        </w:r>
        <w:r w:rsidRPr="0084301E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Ochrana stavby podle jiných právních předpisů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_Toc36726782 \h </w:instrTex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webHidden/>
            <w:sz w:val="18"/>
            <w:szCs w:val="18"/>
          </w:rPr>
          <w:t>4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25ED1702" w14:textId="4587C462" w:rsidR="0084301E" w:rsidRPr="0084301E" w:rsidRDefault="0084301E">
      <w:pPr>
        <w:pStyle w:val="Obsah3"/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36726783" w:history="1"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g )</w:t>
        </w:r>
        <w:r w:rsidRPr="0084301E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Navrhované parametry stavby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_Toc36726783 \h </w:instrTex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webHidden/>
            <w:sz w:val="18"/>
            <w:szCs w:val="18"/>
          </w:rPr>
          <w:t>4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1398779A" w14:textId="18123D20" w:rsidR="0084301E" w:rsidRPr="0084301E" w:rsidRDefault="0084301E">
      <w:pPr>
        <w:pStyle w:val="Obsah3"/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36726784" w:history="1"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h )</w:t>
        </w:r>
        <w:r w:rsidRPr="0084301E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Pr="0084301E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základní bilance stavby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_Toc36726784 \h </w:instrTex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webHidden/>
            <w:sz w:val="18"/>
            <w:szCs w:val="18"/>
          </w:rPr>
          <w:t>4</w:t>
        </w:r>
        <w:r w:rsidRPr="0084301E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2C04D114" w14:textId="5B311A8C" w:rsidR="00C04EA1" w:rsidRPr="0084301E" w:rsidRDefault="00C04EA1">
      <w:pPr>
        <w:jc w:val="left"/>
        <w:rPr>
          <w:rFonts w:asciiTheme="minorHAnsi" w:hAnsiTheme="minorHAnsi" w:cstheme="minorHAnsi"/>
          <w:sz w:val="18"/>
          <w:szCs w:val="18"/>
          <w:lang w:eastAsia="cs-CZ"/>
        </w:rPr>
      </w:pPr>
      <w:r w:rsidRPr="0084301E">
        <w:rPr>
          <w:rFonts w:asciiTheme="minorHAnsi" w:hAnsiTheme="minorHAnsi" w:cstheme="minorHAnsi"/>
          <w:sz w:val="18"/>
          <w:szCs w:val="18"/>
        </w:rPr>
        <w:fldChar w:fldCharType="end"/>
      </w:r>
    </w:p>
    <w:p w14:paraId="4FD5A3DD" w14:textId="77777777" w:rsidR="00C04EA1" w:rsidRPr="00ED3176" w:rsidRDefault="00C04EA1">
      <w:pPr>
        <w:pStyle w:val="Nadpis1"/>
        <w:pageBreakBefore/>
      </w:pPr>
      <w:bookmarkStart w:id="1" w:name="_Toc36726753"/>
      <w:r w:rsidRPr="00ED3176">
        <w:lastRenderedPageBreak/>
        <w:t>ÚVOD</w:t>
      </w:r>
      <w:bookmarkEnd w:id="1"/>
      <w:r w:rsidRPr="00ED3176">
        <w:t xml:space="preserve"> </w:t>
      </w:r>
    </w:p>
    <w:p w14:paraId="51FC2695" w14:textId="77777777" w:rsidR="006F1449" w:rsidRPr="00ED3176" w:rsidRDefault="000069D6" w:rsidP="006F1449">
      <w:pPr>
        <w:rPr>
          <w:lang w:eastAsia="cs-CZ"/>
        </w:rPr>
      </w:pPr>
      <w:r w:rsidRPr="00ED3176">
        <w:t>Předkládaná projektová dokumentace je určena pro</w:t>
      </w:r>
      <w:r w:rsidR="00A2687F" w:rsidRPr="00ED3176">
        <w:t xml:space="preserve"> rekonstrukci zdroje tepla v DD Unhošť.</w:t>
      </w:r>
      <w:r w:rsidRPr="00ED3176">
        <w:t xml:space="preserve"> </w:t>
      </w:r>
    </w:p>
    <w:p w14:paraId="5160FF0A" w14:textId="77777777" w:rsidR="006F1449" w:rsidRPr="00ED3176" w:rsidRDefault="006F1449" w:rsidP="006F1449">
      <w:pPr>
        <w:pStyle w:val="Nadpis3"/>
      </w:pPr>
      <w:bookmarkStart w:id="2" w:name="_Toc36726754"/>
      <w:r w:rsidRPr="00ED3176">
        <w:t>Požadavky na zpracování dodavatelské dokumentace stavby</w:t>
      </w:r>
      <w:bookmarkEnd w:id="2"/>
    </w:p>
    <w:p w14:paraId="11250577" w14:textId="77777777" w:rsidR="00A2687F" w:rsidRPr="00ED3176" w:rsidRDefault="00A2687F" w:rsidP="00A2687F">
      <w:pPr>
        <w:rPr>
          <w:lang w:eastAsia="cs-CZ"/>
        </w:rPr>
      </w:pPr>
      <w:r w:rsidRPr="00ED3176">
        <w:rPr>
          <w:lang w:eastAsia="cs-CZ"/>
        </w:rPr>
        <w:t>Projektová dokumentace je zpracovaná ve stupni pro provádění stavby. Dodavatelská dokumentace musí být zpracovaná v případě odchylek od projektu a pro jednotlivé nenormalizované části kotelny (např. Kombinovaný rozdělovač a sběrač)</w:t>
      </w:r>
    </w:p>
    <w:p w14:paraId="544F701C" w14:textId="77777777" w:rsidR="006F1449" w:rsidRPr="00ED3176" w:rsidRDefault="006F1449" w:rsidP="006F1449">
      <w:pPr>
        <w:pStyle w:val="Nadpis3"/>
      </w:pPr>
      <w:bookmarkStart w:id="3" w:name="_Toc36726755"/>
      <w:r w:rsidRPr="00ED3176">
        <w:t>Požadavky na zpracování plánu bezpečnosti a ochrany zdraví při práci na staveništi</w:t>
      </w:r>
      <w:bookmarkEnd w:id="3"/>
    </w:p>
    <w:p w14:paraId="068CBFC3" w14:textId="77777777" w:rsidR="00A2687F" w:rsidRPr="00ED3176" w:rsidRDefault="00A2687F" w:rsidP="00A2687F">
      <w:pPr>
        <w:rPr>
          <w:lang w:eastAsia="cs-CZ"/>
        </w:rPr>
      </w:pPr>
      <w:r w:rsidRPr="00ED3176">
        <w:rPr>
          <w:lang w:eastAsia="cs-CZ"/>
        </w:rPr>
        <w:t>Projekt nestanovuje žádné zvláštní požadavky pro plán BOZP.</w:t>
      </w:r>
    </w:p>
    <w:p w14:paraId="60A54A4B" w14:textId="77777777" w:rsidR="006F1449" w:rsidRPr="00ED3176" w:rsidRDefault="006F1449" w:rsidP="006F1449">
      <w:pPr>
        <w:pStyle w:val="Nadpis3"/>
      </w:pPr>
      <w:bookmarkStart w:id="4" w:name="_Toc36726756"/>
      <w:r w:rsidRPr="00ED3176">
        <w:t>Podmínky realizace prací, budou-li prováděny v ochranných nebo bezpečnostních pásmech jiných staveb</w:t>
      </w:r>
      <w:bookmarkEnd w:id="4"/>
    </w:p>
    <w:p w14:paraId="402010C3" w14:textId="77777777" w:rsidR="00A2687F" w:rsidRPr="00ED3176" w:rsidRDefault="00A2687F" w:rsidP="00A2687F">
      <w:pPr>
        <w:rPr>
          <w:lang w:eastAsia="cs-CZ"/>
        </w:rPr>
      </w:pPr>
      <w:r w:rsidRPr="00ED3176">
        <w:rPr>
          <w:lang w:eastAsia="cs-CZ"/>
        </w:rPr>
        <w:t>Realizace projektu nebude v ochranných ani bezpečnostních pásmech.</w:t>
      </w:r>
    </w:p>
    <w:p w14:paraId="292FE9CC" w14:textId="77777777" w:rsidR="006F1449" w:rsidRPr="00ED3176" w:rsidRDefault="006F1449" w:rsidP="006F1449">
      <w:pPr>
        <w:pStyle w:val="Nadpis3"/>
      </w:pPr>
      <w:bookmarkStart w:id="5" w:name="_Toc36726757"/>
      <w:r w:rsidRPr="00ED3176">
        <w:t>Zvláštní podmínky a požadavky na organizaci staveniště a provádění prací na něm</w:t>
      </w:r>
      <w:bookmarkEnd w:id="5"/>
    </w:p>
    <w:p w14:paraId="2E291299" w14:textId="77777777" w:rsidR="006F1449" w:rsidRPr="00ED3176" w:rsidRDefault="00A2687F" w:rsidP="00A2687F">
      <w:pPr>
        <w:ind w:left="425" w:firstLine="0"/>
      </w:pPr>
      <w:r w:rsidRPr="00ED3176">
        <w:t>Projekt nestanovuje žádné zvláštní požadavky na organizaci staveniště</w:t>
      </w:r>
      <w:r w:rsidR="006F1449" w:rsidRPr="00ED3176">
        <w:t>.</w:t>
      </w:r>
    </w:p>
    <w:p w14:paraId="78BB491A" w14:textId="77777777" w:rsidR="006F1449" w:rsidRPr="00ED3176" w:rsidRDefault="006F1449" w:rsidP="006F1449">
      <w:pPr>
        <w:pStyle w:val="Nadpis3"/>
      </w:pPr>
      <w:bookmarkStart w:id="6" w:name="_Toc36726758"/>
      <w:r w:rsidRPr="00ED3176">
        <w:t>Ochrana životního prostředí při výstavbě.</w:t>
      </w:r>
      <w:bookmarkEnd w:id="6"/>
    </w:p>
    <w:p w14:paraId="43F05C43" w14:textId="77777777" w:rsidR="00CB4F8F" w:rsidRPr="00ED3176" w:rsidRDefault="00CB4F8F" w:rsidP="00CB4F8F">
      <w:r w:rsidRPr="00ED3176">
        <w:t xml:space="preserve">Při realizaci předmětu stavby nebudou používány ani produkovány žádné nebezpečné látky a emise. Nakládání s odpady vzniklými při realizaci bude především podléhat zákonu č.185/2001 Sb., o odpadech v platném znění. Dále bude s odpady nakládáno dle vnitřních předpisů investora. </w:t>
      </w:r>
    </w:p>
    <w:p w14:paraId="77104CE1" w14:textId="77777777" w:rsidR="00C04EA1" w:rsidRPr="00ED3176" w:rsidRDefault="00C04EA1">
      <w:pPr>
        <w:pStyle w:val="Nadpis1"/>
      </w:pPr>
      <w:bookmarkStart w:id="7" w:name="_Toc36726759"/>
      <w:r w:rsidRPr="00ED3176">
        <w:t>Popis území stavby</w:t>
      </w:r>
      <w:bookmarkEnd w:id="7"/>
      <w:r w:rsidRPr="00ED3176">
        <w:t xml:space="preserve"> </w:t>
      </w:r>
    </w:p>
    <w:p w14:paraId="47624C13" w14:textId="77777777" w:rsidR="00C04EA1" w:rsidRPr="00ED3176" w:rsidRDefault="00C04EA1" w:rsidP="00CF038C">
      <w:pPr>
        <w:pStyle w:val="Nadpis3"/>
      </w:pPr>
      <w:bookmarkStart w:id="8" w:name="_Toc36726760"/>
      <w:r w:rsidRPr="00ED3176">
        <w:t xml:space="preserve">Charakteristika </w:t>
      </w:r>
      <w:r w:rsidR="00103874" w:rsidRPr="00ED3176">
        <w:t xml:space="preserve">území a </w:t>
      </w:r>
      <w:r w:rsidRPr="00ED3176">
        <w:t>stavebního pozemku</w:t>
      </w:r>
      <w:bookmarkEnd w:id="8"/>
      <w:r w:rsidRPr="00ED3176">
        <w:t xml:space="preserve"> </w:t>
      </w:r>
    </w:p>
    <w:p w14:paraId="210D43F4" w14:textId="77777777" w:rsidR="00C04EA1" w:rsidRPr="00ED3176" w:rsidRDefault="000069D6">
      <w:r w:rsidRPr="00ED3176">
        <w:t xml:space="preserve">Stavba se nachází pouze uvnitř uzavřeného areálu </w:t>
      </w:r>
      <w:r w:rsidR="00D22686" w:rsidRPr="00ED3176">
        <w:t>DD Unhošť</w:t>
      </w:r>
      <w:r w:rsidRPr="00ED3176">
        <w:t>, jak je</w:t>
      </w:r>
      <w:r w:rsidR="00C6158A" w:rsidRPr="00ED3176">
        <w:t xml:space="preserve"> </w:t>
      </w:r>
      <w:r w:rsidRPr="00ED3176">
        <w:t xml:space="preserve">patrné z výkresové dokumentace. </w:t>
      </w:r>
      <w:r w:rsidR="00D22686" w:rsidRPr="00ED3176">
        <w:t>Stávající kotelna bude nahrazena novou</w:t>
      </w:r>
      <w:r w:rsidRPr="00ED3176">
        <w:t>.</w:t>
      </w:r>
      <w:r w:rsidR="00D22686" w:rsidRPr="00ED3176">
        <w:t xml:space="preserve"> Nedojde k žádným významným stavebním úpravám a nová kotelna bude ve stejném prostoru jako kotelna stávající.</w:t>
      </w:r>
    </w:p>
    <w:p w14:paraId="14F4B352" w14:textId="77777777" w:rsidR="00103874" w:rsidRPr="00ED3176" w:rsidRDefault="00103874" w:rsidP="00103874">
      <w:pPr>
        <w:pStyle w:val="Nadpis3"/>
      </w:pPr>
      <w:bookmarkStart w:id="9" w:name="_Toc36726761"/>
      <w:r w:rsidRPr="00ED3176">
        <w:t>Ú</w:t>
      </w:r>
      <w:r w:rsidRPr="00ED3176">
        <w:rPr>
          <w:rFonts w:cs="Arial"/>
          <w:szCs w:val="20"/>
        </w:rPr>
        <w:t>daje o souladu u s územním rozhodnutím nebo regulačním plánem nebo veřejnoprávní smlouvou územní rozhodnutí nahrazující anebo územním souhlasem</w:t>
      </w:r>
      <w:bookmarkEnd w:id="9"/>
    </w:p>
    <w:p w14:paraId="0A9015CD" w14:textId="77777777" w:rsidR="00103874" w:rsidRPr="00ED3176" w:rsidRDefault="00D22686">
      <w:r w:rsidRPr="00ED3176">
        <w:t>Jedná se o výměnu kotlů a zařízení kotelny, stavba nevyžaduje územní rozhodnutí</w:t>
      </w:r>
      <w:r w:rsidR="00103874" w:rsidRPr="00ED3176">
        <w:t>.</w:t>
      </w:r>
    </w:p>
    <w:p w14:paraId="54A1181D" w14:textId="77777777" w:rsidR="00103874" w:rsidRPr="00ED3176" w:rsidRDefault="00103874" w:rsidP="00103874">
      <w:pPr>
        <w:pStyle w:val="Nadpis3"/>
      </w:pPr>
      <w:bookmarkStart w:id="10" w:name="_Toc464039830"/>
      <w:bookmarkStart w:id="11" w:name="_Toc36726762"/>
      <w:r w:rsidRPr="00ED3176">
        <w:t>Údaje o souladu s územně plánovací dokumentací</w:t>
      </w:r>
      <w:bookmarkEnd w:id="10"/>
      <w:bookmarkEnd w:id="11"/>
    </w:p>
    <w:p w14:paraId="4326E4AE" w14:textId="77777777" w:rsidR="00103874" w:rsidRPr="00ED3176" w:rsidRDefault="00755419" w:rsidP="00103874">
      <w:r w:rsidRPr="00ED3176">
        <w:t>Jedná se o výměnu kotlů a zařízení kotelny, s</w:t>
      </w:r>
      <w:r w:rsidR="00103874" w:rsidRPr="00ED3176">
        <w:t xml:space="preserve">tavba je v souladu s územním plánem. </w:t>
      </w:r>
    </w:p>
    <w:p w14:paraId="461FC060" w14:textId="77777777" w:rsidR="00103874" w:rsidRPr="00ED3176" w:rsidRDefault="00103874" w:rsidP="00103874">
      <w:pPr>
        <w:pStyle w:val="Nadpis3"/>
      </w:pPr>
      <w:bookmarkStart w:id="12" w:name="_Toc36726763"/>
      <w:r w:rsidRPr="00ED3176">
        <w:t>Informace o vydaných rozhodnutích o povolení výjimky z obecných požadavků na využívání území</w:t>
      </w:r>
      <w:bookmarkEnd w:id="12"/>
    </w:p>
    <w:p w14:paraId="4B24028F" w14:textId="77777777" w:rsidR="00103874" w:rsidRPr="00ED3176" w:rsidRDefault="00103874" w:rsidP="00103874">
      <w:r w:rsidRPr="00ED3176">
        <w:t xml:space="preserve">Na stavbu nebyly </w:t>
      </w:r>
      <w:r w:rsidR="003224FC" w:rsidRPr="00ED3176">
        <w:t>vydané žádné výjimky.</w:t>
      </w:r>
    </w:p>
    <w:p w14:paraId="3F830011" w14:textId="77777777" w:rsidR="00266B14" w:rsidRPr="00ED3176" w:rsidRDefault="00266B14" w:rsidP="00266B14">
      <w:pPr>
        <w:pStyle w:val="Nadpis3"/>
      </w:pPr>
      <w:r w:rsidRPr="00ED3176">
        <w:t> </w:t>
      </w:r>
      <w:bookmarkStart w:id="13" w:name="_Toc36726764"/>
      <w:r w:rsidRPr="00ED3176">
        <w:t>Informace o tom, zda a v jakých částech dokumentace jsou zohledněny podmínky závazných stanovisek dotčených orgánů</w:t>
      </w:r>
      <w:bookmarkEnd w:id="13"/>
    </w:p>
    <w:p w14:paraId="1FA65708" w14:textId="77777777" w:rsidR="00266B14" w:rsidRPr="00ED3176" w:rsidRDefault="00755419" w:rsidP="00266B14">
      <w:pPr>
        <w:rPr>
          <w:lang w:eastAsia="cs-CZ"/>
        </w:rPr>
      </w:pPr>
      <w:r w:rsidRPr="00ED3176">
        <w:t xml:space="preserve">Jedná se o výměnu kotlů a zařízení kotelny, </w:t>
      </w:r>
      <w:r w:rsidR="00966BE3" w:rsidRPr="00ED3176">
        <w:t>nebyly obeslány žádné orgány.</w:t>
      </w:r>
    </w:p>
    <w:p w14:paraId="4B6592FD" w14:textId="77777777" w:rsidR="00266B14" w:rsidRPr="00ED3176" w:rsidRDefault="00266B14" w:rsidP="00266B14">
      <w:pPr>
        <w:pStyle w:val="Nadpis3"/>
      </w:pPr>
      <w:bookmarkStart w:id="14" w:name="_Toc36726765"/>
      <w:r w:rsidRPr="00ED3176">
        <w:lastRenderedPageBreak/>
        <w:t>Výčet a závěry provedených průzkumů a rozborů</w:t>
      </w:r>
      <w:bookmarkEnd w:id="14"/>
      <w:r w:rsidRPr="00ED3176">
        <w:t xml:space="preserve"> </w:t>
      </w:r>
    </w:p>
    <w:p w14:paraId="12C4DFE3" w14:textId="77777777" w:rsidR="00266B14" w:rsidRPr="00ED3176" w:rsidRDefault="00266B14" w:rsidP="00266B14">
      <w:r w:rsidRPr="00ED3176">
        <w:t>V rámci přípravy projektu byla uskutečněna prohlídka místa za účasti zástupce investora.</w:t>
      </w:r>
    </w:p>
    <w:p w14:paraId="25CDB120" w14:textId="77777777" w:rsidR="00266B14" w:rsidRPr="00ED3176" w:rsidRDefault="00266B14" w:rsidP="00266B14">
      <w:pPr>
        <w:pStyle w:val="Nadpis3"/>
      </w:pPr>
      <w:bookmarkStart w:id="15" w:name="_Toc36726766"/>
      <w:r w:rsidRPr="00ED3176">
        <w:t>Ochrana území podle jiných právních předpisů</w:t>
      </w:r>
      <w:bookmarkEnd w:id="15"/>
    </w:p>
    <w:p w14:paraId="5F10F22A" w14:textId="77777777" w:rsidR="00266B14" w:rsidRPr="00ED3176" w:rsidRDefault="00266B14" w:rsidP="00266B14">
      <w:r w:rsidRPr="00ED3176">
        <w:t>Dotčené území se nenachází na žádném chráněném území.</w:t>
      </w:r>
    </w:p>
    <w:p w14:paraId="2827116C" w14:textId="77777777" w:rsidR="00266B14" w:rsidRPr="00ED3176" w:rsidRDefault="00266B14" w:rsidP="00266B14">
      <w:pPr>
        <w:pStyle w:val="Nadpis3"/>
      </w:pPr>
      <w:bookmarkStart w:id="16" w:name="_Toc36726767"/>
      <w:r w:rsidRPr="00ED3176">
        <w:t>Poloha vzhledem k záplavovému území, poddolovanému území apod.</w:t>
      </w:r>
      <w:bookmarkEnd w:id="16"/>
    </w:p>
    <w:p w14:paraId="7DD41FBE" w14:textId="77777777" w:rsidR="00266B14" w:rsidRPr="00ED3176" w:rsidRDefault="00266B14" w:rsidP="00266B14">
      <w:r w:rsidRPr="00ED3176">
        <w:t>Dotčené území se nenachází v záplavovém ani poddolovaném území</w:t>
      </w:r>
    </w:p>
    <w:p w14:paraId="4DD2AF1D" w14:textId="77777777" w:rsidR="00C04EA1" w:rsidRPr="00ED3176" w:rsidRDefault="00C04EA1" w:rsidP="00CF038C">
      <w:pPr>
        <w:pStyle w:val="Nadpis3"/>
      </w:pPr>
      <w:bookmarkStart w:id="17" w:name="_Toc36726768"/>
      <w:r w:rsidRPr="00ED3176">
        <w:t>Vliv stavby na okolní stavby a pozemky, ochrana okolí, vliv stavby na odtokové poměry v území</w:t>
      </w:r>
      <w:bookmarkEnd w:id="17"/>
      <w:r w:rsidRPr="00ED3176">
        <w:t xml:space="preserve"> </w:t>
      </w:r>
    </w:p>
    <w:p w14:paraId="2694C560" w14:textId="77777777" w:rsidR="00E06BFE" w:rsidRPr="00ED3176" w:rsidRDefault="00966BE3" w:rsidP="00E06BFE">
      <w:pPr>
        <w:rPr>
          <w:color w:val="000000"/>
        </w:rPr>
      </w:pPr>
      <w:r w:rsidRPr="00ED3176">
        <w:t xml:space="preserve">Jedná se o výměnu kotlů a zařízení kotelny, nedojde k žádným změnám vlivů na okolí. </w:t>
      </w:r>
    </w:p>
    <w:p w14:paraId="3464C58C" w14:textId="77777777" w:rsidR="00C04EA1" w:rsidRPr="00ED3176" w:rsidRDefault="00C04EA1" w:rsidP="00CF038C">
      <w:pPr>
        <w:pStyle w:val="Nadpis3"/>
        <w:rPr>
          <w:color w:val="000000"/>
        </w:rPr>
      </w:pPr>
      <w:bookmarkStart w:id="18" w:name="_Toc36726769"/>
      <w:r w:rsidRPr="00ED3176">
        <w:t>Požadavky na asanace, demolice, kácení dřevin</w:t>
      </w:r>
      <w:bookmarkEnd w:id="18"/>
      <w:r w:rsidRPr="00ED3176">
        <w:t xml:space="preserve"> </w:t>
      </w:r>
    </w:p>
    <w:p w14:paraId="18FB6540" w14:textId="77777777" w:rsidR="00C04EA1" w:rsidRPr="00ED3176" w:rsidRDefault="00966BE3">
      <w:r w:rsidRPr="00ED3176">
        <w:t>Jedná se o výměnu kotlů a zařízení kotelny, nedojde k žádným asanacím nebo kácení.</w:t>
      </w:r>
    </w:p>
    <w:p w14:paraId="7F681679" w14:textId="77777777" w:rsidR="00C04EA1" w:rsidRPr="00ED3176" w:rsidRDefault="00C04EA1" w:rsidP="00CF038C">
      <w:pPr>
        <w:pStyle w:val="Nadpis3"/>
        <w:rPr>
          <w:color w:val="000000"/>
          <w:szCs w:val="20"/>
        </w:rPr>
      </w:pPr>
      <w:bookmarkStart w:id="19" w:name="_Toc36726770"/>
      <w:r w:rsidRPr="00ED3176">
        <w:t xml:space="preserve">Požadavky na maximální </w:t>
      </w:r>
      <w:r w:rsidR="00D352E8" w:rsidRPr="00ED3176">
        <w:t xml:space="preserve">dočasné a trvalé </w:t>
      </w:r>
      <w:r w:rsidRPr="00ED3176">
        <w:t>zábory zemědělského půdního fondu nebo pozemků určených k plnění funkce lesa</w:t>
      </w:r>
      <w:bookmarkEnd w:id="19"/>
      <w:r w:rsidRPr="00ED3176">
        <w:t xml:space="preserve"> </w:t>
      </w:r>
    </w:p>
    <w:p w14:paraId="57331212" w14:textId="77777777" w:rsidR="00C04EA1" w:rsidRPr="00ED3176" w:rsidRDefault="00966BE3">
      <w:pPr>
        <w:pStyle w:val="Odstavecseseznamem1"/>
        <w:spacing w:after="0"/>
        <w:ind w:left="76"/>
      </w:pPr>
      <w:r w:rsidRPr="00ED3176">
        <w:t>Jedná se o výměnu kotlů a zařízení kotelny, s</w:t>
      </w:r>
      <w:r w:rsidR="00C04EA1" w:rsidRPr="00ED3176">
        <w:rPr>
          <w:rFonts w:eastAsia="Times New Roman" w:cs="Times New Roman"/>
          <w:color w:val="000000"/>
          <w:szCs w:val="20"/>
        </w:rPr>
        <w:t xml:space="preserve">tavba nevyžaduje žádné zábory zemědělské půdy nebo pozemků určených k plnění funkce lesa. </w:t>
      </w:r>
    </w:p>
    <w:p w14:paraId="5D492EF4" w14:textId="77777777" w:rsidR="00C04EA1" w:rsidRPr="00ED3176" w:rsidRDefault="00C04EA1" w:rsidP="00CF038C">
      <w:pPr>
        <w:pStyle w:val="Nadpis3"/>
        <w:rPr>
          <w:i/>
          <w:color w:val="000000"/>
        </w:rPr>
      </w:pPr>
      <w:bookmarkStart w:id="20" w:name="_Toc36726771"/>
      <w:r w:rsidRPr="00ED3176">
        <w:t>Územně technické podmínky (zejména možnost napojení na stávající dopravní a technickou infrastrukturu)</w:t>
      </w:r>
      <w:bookmarkEnd w:id="20"/>
      <w:r w:rsidRPr="00ED3176">
        <w:t xml:space="preserve"> </w:t>
      </w:r>
    </w:p>
    <w:p w14:paraId="5B9B2E7D" w14:textId="77777777" w:rsidR="00C04EA1" w:rsidRPr="00ED3176" w:rsidRDefault="00C04EA1">
      <w:pPr>
        <w:rPr>
          <w:color w:val="000000"/>
        </w:rPr>
      </w:pPr>
      <w:r w:rsidRPr="00ED3176">
        <w:rPr>
          <w:b/>
          <w:i/>
          <w:color w:val="000000"/>
        </w:rPr>
        <w:t>Napojení na dopravní infrastrukturu</w:t>
      </w:r>
    </w:p>
    <w:p w14:paraId="6B53682B" w14:textId="77777777" w:rsidR="00C04EA1" w:rsidRPr="00ED3176" w:rsidRDefault="00966BE3">
      <w:pPr>
        <w:rPr>
          <w:rFonts w:eastAsia="Calibri" w:cs="Calibri"/>
          <w:color w:val="000000"/>
        </w:rPr>
      </w:pPr>
      <w:r w:rsidRPr="00ED3176">
        <w:t>Jedná se o výměnu kotlů a zařízení kotelny, nedojde k žádným změnám.</w:t>
      </w:r>
    </w:p>
    <w:p w14:paraId="79D03600" w14:textId="77777777" w:rsidR="00C04EA1" w:rsidRPr="00ED3176" w:rsidRDefault="00C04EA1">
      <w:pPr>
        <w:rPr>
          <w:color w:val="000000"/>
        </w:rPr>
      </w:pPr>
      <w:r w:rsidRPr="00ED3176">
        <w:rPr>
          <w:rFonts w:eastAsia="Calibri" w:cs="Calibri"/>
          <w:color w:val="000000"/>
        </w:rPr>
        <w:t xml:space="preserve"> </w:t>
      </w:r>
      <w:r w:rsidRPr="00ED3176">
        <w:rPr>
          <w:b/>
          <w:i/>
          <w:color w:val="000000"/>
        </w:rPr>
        <w:t>Napojení na technickou infrastrukturu</w:t>
      </w:r>
    </w:p>
    <w:p w14:paraId="43B48BEB" w14:textId="77777777" w:rsidR="005F6220" w:rsidRPr="00ED3176" w:rsidRDefault="00966BE3" w:rsidP="00966BE3">
      <w:pPr>
        <w:rPr>
          <w:rFonts w:eastAsia="Calibri" w:cs="Calibri"/>
          <w:color w:val="000000"/>
        </w:rPr>
      </w:pPr>
      <w:r w:rsidRPr="00ED3176">
        <w:t>Jedná se o výměnu kotlů a zařízení kotelny, nedojde k žádným změnám.</w:t>
      </w:r>
    </w:p>
    <w:p w14:paraId="0068A232" w14:textId="77777777" w:rsidR="00D352E8" w:rsidRPr="00ED3176" w:rsidRDefault="00D352E8" w:rsidP="005F6220">
      <w:pPr>
        <w:rPr>
          <w:b/>
          <w:i/>
          <w:color w:val="000000"/>
        </w:rPr>
      </w:pPr>
      <w:r w:rsidRPr="00ED3176">
        <w:rPr>
          <w:b/>
          <w:i/>
          <w:color w:val="000000"/>
        </w:rPr>
        <w:t>Možnost bezbariérového přístupu k navrhované stavbě</w:t>
      </w:r>
    </w:p>
    <w:p w14:paraId="49231A40" w14:textId="77777777" w:rsidR="00966BE3" w:rsidRPr="00ED3176" w:rsidRDefault="00966BE3" w:rsidP="00966BE3">
      <w:pPr>
        <w:rPr>
          <w:rFonts w:eastAsia="Calibri" w:cs="Calibri"/>
          <w:color w:val="000000"/>
        </w:rPr>
      </w:pPr>
      <w:r w:rsidRPr="00ED3176">
        <w:t>Jedná se o výměnu kotlů a zařízení kotelny, nedojde k žádným změnám.</w:t>
      </w:r>
    </w:p>
    <w:p w14:paraId="62B2EB08" w14:textId="77777777" w:rsidR="00C04EA1" w:rsidRPr="00ED3176" w:rsidRDefault="00C04EA1" w:rsidP="00CF038C">
      <w:pPr>
        <w:pStyle w:val="Nadpis3"/>
      </w:pPr>
      <w:bookmarkStart w:id="21" w:name="_Toc36726772"/>
      <w:r w:rsidRPr="00ED3176">
        <w:t>Věcné a časové vazby stavby, podmiňující, vyvolané, související investice</w:t>
      </w:r>
      <w:bookmarkEnd w:id="21"/>
    </w:p>
    <w:p w14:paraId="04EF7BB5" w14:textId="77777777" w:rsidR="00C04EA1" w:rsidRPr="00ED3176" w:rsidRDefault="00532176">
      <w:pPr>
        <w:ind w:left="-284"/>
      </w:pPr>
      <w:r w:rsidRPr="00ED3176">
        <w:t>Realizace stavby bude během letních měsíců</w:t>
      </w:r>
      <w:r w:rsidR="00C04EA1" w:rsidRPr="00ED3176">
        <w:t>.</w:t>
      </w:r>
      <w:r w:rsidRPr="00ED3176">
        <w:t xml:space="preserve"> Po dobu stavby bude zachován plynový ohřívač vody, který bude nově napojen na samostatný provizorní komín. </w:t>
      </w:r>
    </w:p>
    <w:p w14:paraId="72699482" w14:textId="77777777" w:rsidR="00C04EA1" w:rsidRPr="00ED3176" w:rsidRDefault="00C04EA1">
      <w:pPr>
        <w:ind w:left="-284"/>
      </w:pPr>
      <w:r w:rsidRPr="00ED3176">
        <w:t xml:space="preserve">Realizace stavby nemá žádné ostatní podmiňující, vyvolané a související investice. </w:t>
      </w:r>
    </w:p>
    <w:p w14:paraId="5773438D" w14:textId="77777777" w:rsidR="00D352E8" w:rsidRPr="00ED3176" w:rsidRDefault="00D352E8" w:rsidP="00D352E8">
      <w:pPr>
        <w:pStyle w:val="Nadpis3"/>
      </w:pPr>
      <w:bookmarkStart w:id="22" w:name="_Toc464039835"/>
      <w:bookmarkStart w:id="23" w:name="_Toc36726773"/>
      <w:r w:rsidRPr="00ED3176">
        <w:t>Seznam pozemků a staveb dotčených umístěním a prováděním stavby</w:t>
      </w:r>
      <w:bookmarkEnd w:id="22"/>
      <w:bookmarkEnd w:id="23"/>
    </w:p>
    <w:p w14:paraId="7BF349AB" w14:textId="77777777" w:rsidR="00D352E8" w:rsidRPr="00ED3176" w:rsidRDefault="00D352E8" w:rsidP="00D352E8">
      <w:r w:rsidRPr="00ED3176">
        <w:t xml:space="preserve">Stavba se nachází na níže uvedených pozemcích v katastrálním území </w:t>
      </w:r>
      <w:r w:rsidR="00B21C71" w:rsidRPr="00ED3176">
        <w:t>Unhošť [174491]</w:t>
      </w:r>
      <w:r w:rsidRPr="00ED3176">
        <w:t>.</w:t>
      </w:r>
    </w:p>
    <w:p w14:paraId="3F5E0FF8" w14:textId="77777777" w:rsidR="00D352E8" w:rsidRPr="00ED3176" w:rsidRDefault="00D352E8" w:rsidP="00D352E8">
      <w:pPr>
        <w:tabs>
          <w:tab w:val="left" w:pos="1560"/>
          <w:tab w:val="left" w:pos="4678"/>
        </w:tabs>
      </w:pPr>
      <w:r w:rsidRPr="00ED3176">
        <w:rPr>
          <w:b/>
        </w:rPr>
        <w:t>Parcela č.</w:t>
      </w:r>
      <w:r w:rsidRPr="00ED3176">
        <w:rPr>
          <w:b/>
        </w:rPr>
        <w:tab/>
        <w:t>způsob využití</w:t>
      </w:r>
      <w:r w:rsidRPr="00ED3176">
        <w:rPr>
          <w:b/>
        </w:rPr>
        <w:tab/>
        <w:t>druh pozemku</w:t>
      </w:r>
    </w:p>
    <w:p w14:paraId="169777D6" w14:textId="77777777" w:rsidR="00D352E8" w:rsidRPr="00ED3176" w:rsidRDefault="00532176" w:rsidP="00B21C71">
      <w:pPr>
        <w:tabs>
          <w:tab w:val="left" w:pos="1560"/>
          <w:tab w:val="left" w:pos="4678"/>
        </w:tabs>
      </w:pPr>
      <w:r w:rsidRPr="00ED3176">
        <w:t>581</w:t>
      </w:r>
      <w:r w:rsidR="00D352E8" w:rsidRPr="00ED3176">
        <w:tab/>
      </w:r>
      <w:r w:rsidR="00B21C71" w:rsidRPr="00ED3176">
        <w:t>Budova s číslem popisným</w:t>
      </w:r>
      <w:r w:rsidR="00D352E8" w:rsidRPr="00ED3176">
        <w:tab/>
      </w:r>
      <w:r w:rsidR="00B21C71" w:rsidRPr="00ED3176">
        <w:t xml:space="preserve">zastavěná plocha a nádvoří </w:t>
      </w:r>
      <w:r w:rsidR="00D352E8" w:rsidRPr="00ED3176">
        <w:t>433/4</w:t>
      </w:r>
      <w:r w:rsidR="00D352E8" w:rsidRPr="00ED3176">
        <w:tab/>
      </w:r>
    </w:p>
    <w:p w14:paraId="4BDCFEF2" w14:textId="77777777" w:rsidR="00D352E8" w:rsidRPr="00ED3176" w:rsidRDefault="00D352E8" w:rsidP="00D352E8">
      <w:pPr>
        <w:pStyle w:val="Nadpis3"/>
      </w:pPr>
      <w:bookmarkStart w:id="24" w:name="_Toc36726774"/>
      <w:r w:rsidRPr="00ED3176">
        <w:t>Seznam pozemků podle katastru nemovitostí, na kterých vznikne ochranné nebo bezpečnostní pásmo</w:t>
      </w:r>
      <w:bookmarkEnd w:id="24"/>
    </w:p>
    <w:p w14:paraId="782D5836" w14:textId="77777777" w:rsidR="005E26C8" w:rsidRPr="00ED3176" w:rsidRDefault="00B21C71" w:rsidP="005E26C8">
      <w:pPr>
        <w:tabs>
          <w:tab w:val="left" w:pos="1560"/>
          <w:tab w:val="left" w:pos="4678"/>
        </w:tabs>
      </w:pPr>
      <w:r w:rsidRPr="00ED3176">
        <w:t>Stavbou nevznikne žádné nové ochranné ani bezpečnostní pásmo.</w:t>
      </w:r>
    </w:p>
    <w:p w14:paraId="7E9E08B3" w14:textId="77777777" w:rsidR="00C04EA1" w:rsidRPr="00ED3176" w:rsidRDefault="00C04EA1">
      <w:pPr>
        <w:pStyle w:val="Nadpis1"/>
      </w:pPr>
      <w:bookmarkStart w:id="25" w:name="_Toc36726775"/>
      <w:r w:rsidRPr="00ED3176">
        <w:lastRenderedPageBreak/>
        <w:t>Celkový popis stavby</w:t>
      </w:r>
      <w:bookmarkEnd w:id="25"/>
    </w:p>
    <w:p w14:paraId="0FC0A940" w14:textId="77777777" w:rsidR="00C04EA1" w:rsidRPr="00ED3176" w:rsidRDefault="00C04EA1" w:rsidP="00CF038C">
      <w:pPr>
        <w:pStyle w:val="Nadpis2"/>
      </w:pPr>
      <w:bookmarkStart w:id="26" w:name="_Toc36726776"/>
      <w:r w:rsidRPr="00ED3176">
        <w:t>Účel užívání stavby, základní kapacity funkčních jednotek</w:t>
      </w:r>
      <w:bookmarkEnd w:id="26"/>
    </w:p>
    <w:p w14:paraId="6D29B737" w14:textId="77777777" w:rsidR="00D82789" w:rsidRPr="00ED3176" w:rsidRDefault="00D82789" w:rsidP="00D82789">
      <w:pPr>
        <w:pStyle w:val="Nadpis3"/>
      </w:pPr>
      <w:bookmarkStart w:id="27" w:name="_Toc464039837"/>
      <w:bookmarkStart w:id="28" w:name="_Toc36726777"/>
      <w:r w:rsidRPr="00ED3176">
        <w:t>Nová stavba nebo změna dokončené stavby</w:t>
      </w:r>
      <w:bookmarkEnd w:id="27"/>
      <w:bookmarkEnd w:id="28"/>
    </w:p>
    <w:p w14:paraId="7466B74F" w14:textId="77777777" w:rsidR="00D82789" w:rsidRPr="00ED3176" w:rsidRDefault="00B21C71" w:rsidP="00D82789">
      <w:r w:rsidRPr="00ED3176">
        <w:t>Jedná se o výměnu kotlů a zařízení kotelny.</w:t>
      </w:r>
    </w:p>
    <w:p w14:paraId="23933522" w14:textId="77777777" w:rsidR="00D82789" w:rsidRPr="00ED3176" w:rsidRDefault="00D82789" w:rsidP="00D82789">
      <w:pPr>
        <w:pStyle w:val="Nadpis3"/>
      </w:pPr>
      <w:bookmarkStart w:id="29" w:name="_Toc464039838"/>
      <w:bookmarkStart w:id="30" w:name="_Toc36726778"/>
      <w:r w:rsidRPr="00ED3176">
        <w:t>Účel užívání stavby</w:t>
      </w:r>
      <w:bookmarkEnd w:id="29"/>
      <w:bookmarkEnd w:id="30"/>
    </w:p>
    <w:p w14:paraId="616A0E53" w14:textId="77777777" w:rsidR="00D82789" w:rsidRPr="00ED3176" w:rsidRDefault="00D82789" w:rsidP="00D82789">
      <w:r w:rsidRPr="00ED3176">
        <w:t>Nová kotelna</w:t>
      </w:r>
      <w:r w:rsidR="00B21C71" w:rsidRPr="00ED3176">
        <w:t xml:space="preserve"> bude dodávat teplo a teplou vodu pro domov důchodců Unhošť, stejně jako kotelna stávající</w:t>
      </w:r>
      <w:r w:rsidRPr="00ED3176">
        <w:t>.</w:t>
      </w:r>
    </w:p>
    <w:p w14:paraId="3CB4701A" w14:textId="77777777" w:rsidR="00D82789" w:rsidRPr="00ED3176" w:rsidRDefault="00D82789" w:rsidP="00D82789">
      <w:pPr>
        <w:pStyle w:val="Nadpis3"/>
      </w:pPr>
      <w:bookmarkStart w:id="31" w:name="_Toc464039839"/>
      <w:bookmarkStart w:id="32" w:name="_Toc36726779"/>
      <w:r w:rsidRPr="00ED3176">
        <w:t>Trvalá nebo dočasná stavba</w:t>
      </w:r>
      <w:bookmarkEnd w:id="31"/>
      <w:bookmarkEnd w:id="32"/>
    </w:p>
    <w:p w14:paraId="713D6923" w14:textId="77777777" w:rsidR="00D82789" w:rsidRPr="00ED3176" w:rsidRDefault="00D82789" w:rsidP="00D82789">
      <w:r w:rsidRPr="00ED3176">
        <w:t>Jedná se o stavbu trvalou s celoročním využitím.</w:t>
      </w:r>
    </w:p>
    <w:p w14:paraId="5BF75FCB" w14:textId="77777777" w:rsidR="00D82789" w:rsidRPr="00ED3176" w:rsidRDefault="00D82789" w:rsidP="00D82789">
      <w:pPr>
        <w:pStyle w:val="Nadpis3"/>
      </w:pPr>
      <w:bookmarkStart w:id="33" w:name="_Toc36726780"/>
      <w:r w:rsidRPr="00ED3176">
        <w:t>Informace o vydaných rozhodnutích o povolení výjimky z technických požadavků na stavby a technických požadavků zabezpečujících bezbariérové užívání stavby</w:t>
      </w:r>
      <w:bookmarkEnd w:id="33"/>
    </w:p>
    <w:p w14:paraId="3C22E728" w14:textId="77777777" w:rsidR="00D82789" w:rsidRPr="00ED3176" w:rsidRDefault="00D82789" w:rsidP="00D82789">
      <w:r w:rsidRPr="00ED3176">
        <w:t>Projektová dokumentace je vypracována v souladu s </w:t>
      </w:r>
      <w:proofErr w:type="spellStart"/>
      <w:r w:rsidRPr="00ED3176">
        <w:t>vyhl</w:t>
      </w:r>
      <w:proofErr w:type="spellEnd"/>
      <w:r w:rsidRPr="00ED3176">
        <w:t>. č.268/2009 Sb.</w:t>
      </w:r>
    </w:p>
    <w:p w14:paraId="220ABF67" w14:textId="77777777" w:rsidR="00D82789" w:rsidRPr="00ED3176" w:rsidRDefault="00D82789" w:rsidP="00D82789">
      <w:r w:rsidRPr="00ED3176">
        <w:t>Stavba neklade žádné mimořádné technické požadavky, výjimky apod. V projektové dokumentaci jsou navrženy běžné a dostupné stavební materiály, běžné pracovní postupy, certifikované technologie a výrobky. Při realizaci stavby nebudou použity zdravotně, ani ekologicky závadné materiály.</w:t>
      </w:r>
    </w:p>
    <w:p w14:paraId="115D8C0A" w14:textId="77777777" w:rsidR="00D82789" w:rsidRPr="00ED3176" w:rsidRDefault="00D82789" w:rsidP="00D82789">
      <w:r w:rsidRPr="00ED3176">
        <w:t>Na st</w:t>
      </w:r>
      <w:r w:rsidR="00254812" w:rsidRPr="00ED3176">
        <w:t>a</w:t>
      </w:r>
      <w:r w:rsidRPr="00ED3176">
        <w:t>vbu se nevztahují požadavky zabezpečující bezbariérové užívání staveb.</w:t>
      </w:r>
    </w:p>
    <w:p w14:paraId="4CD22942" w14:textId="77777777" w:rsidR="00D82789" w:rsidRPr="00ED3176" w:rsidRDefault="00D82789" w:rsidP="00D82789">
      <w:pPr>
        <w:pStyle w:val="Nadpis3"/>
      </w:pPr>
      <w:bookmarkStart w:id="34" w:name="_Toc36726781"/>
      <w:r w:rsidRPr="00ED3176">
        <w:t>Informace o tom, zda a v jakých částech dokumentace jsou zohledněny podmínky závazných stanovisek dotčených orgánů</w:t>
      </w:r>
      <w:bookmarkEnd w:id="34"/>
    </w:p>
    <w:p w14:paraId="3585A9B6" w14:textId="77777777" w:rsidR="00DA1F74" w:rsidRPr="00ED3176" w:rsidRDefault="00B21C71" w:rsidP="00DA1F74">
      <w:pPr>
        <w:rPr>
          <w:lang w:eastAsia="cs-CZ"/>
        </w:rPr>
      </w:pPr>
      <w:r w:rsidRPr="00ED3176">
        <w:t>Jedná se o výměnu kotlů a zařízení kotelny, nebyly obeslány žádné orgány.</w:t>
      </w:r>
    </w:p>
    <w:p w14:paraId="63CC71B3" w14:textId="77777777" w:rsidR="00D82789" w:rsidRPr="00ED3176" w:rsidRDefault="00DA1F74" w:rsidP="00D82789">
      <w:pPr>
        <w:pStyle w:val="Nadpis3"/>
      </w:pPr>
      <w:bookmarkStart w:id="35" w:name="_Toc36726782"/>
      <w:r w:rsidRPr="00ED3176">
        <w:t>O</w:t>
      </w:r>
      <w:r w:rsidR="00D82789" w:rsidRPr="00ED3176">
        <w:t>chrana stavby podle jiných právních předpisů</w:t>
      </w:r>
      <w:bookmarkEnd w:id="35"/>
    </w:p>
    <w:p w14:paraId="3532BDEA" w14:textId="77777777" w:rsidR="00DA1F74" w:rsidRPr="00ED3176" w:rsidRDefault="00DA1F74" w:rsidP="00DA1F74">
      <w:r w:rsidRPr="00ED3176">
        <w:t xml:space="preserve">Nově vybudovaná kotelna bude splňovat platné emisní limity. </w:t>
      </w:r>
    </w:p>
    <w:p w14:paraId="76AC8455" w14:textId="77777777" w:rsidR="00DA1F74" w:rsidRPr="00ED3176" w:rsidRDefault="00DA1F74" w:rsidP="00F64DAB">
      <w:pPr>
        <w:pStyle w:val="Nadpis3"/>
      </w:pPr>
      <w:bookmarkStart w:id="36" w:name="_Toc36726783"/>
      <w:r w:rsidRPr="00ED3176">
        <w:t>N</w:t>
      </w:r>
      <w:r w:rsidR="00D82789" w:rsidRPr="00ED3176">
        <w:t>avrhované parametry stavby</w:t>
      </w:r>
      <w:bookmarkEnd w:id="36"/>
    </w:p>
    <w:p w14:paraId="535DB846" w14:textId="77777777" w:rsidR="00254812" w:rsidRPr="00ED3176" w:rsidRDefault="00254812" w:rsidP="00254812">
      <w:r w:rsidRPr="00ED3176">
        <w:rPr>
          <w:b/>
          <w:i/>
        </w:rPr>
        <w:t xml:space="preserve">Základní parametry stavební části </w:t>
      </w:r>
    </w:p>
    <w:p w14:paraId="4D7337F6" w14:textId="77777777" w:rsidR="00254812" w:rsidRPr="00ED3176" w:rsidRDefault="00254812" w:rsidP="00254812">
      <w:pPr>
        <w:rPr>
          <w:vertAlign w:val="superscript"/>
        </w:rPr>
      </w:pPr>
      <w:r w:rsidRPr="00ED3176">
        <w:t>Objem prostoru kotelny</w:t>
      </w:r>
      <w:r w:rsidRPr="00ED3176">
        <w:tab/>
      </w:r>
      <w:r w:rsidRPr="00ED3176">
        <w:tab/>
      </w:r>
      <w:r w:rsidRPr="00ED3176">
        <w:tab/>
      </w:r>
      <w:r w:rsidRPr="00ED3176">
        <w:tab/>
        <w:t xml:space="preserve"> </w:t>
      </w:r>
      <w:r w:rsidRPr="00ED3176">
        <w:tab/>
        <w:t xml:space="preserve">    </w:t>
      </w:r>
      <w:r w:rsidRPr="00ED3176">
        <w:tab/>
      </w:r>
      <w:r w:rsidRPr="00ED3176">
        <w:tab/>
      </w:r>
      <w:r w:rsidR="00B21C71" w:rsidRPr="00ED3176">
        <w:t xml:space="preserve">65 </w:t>
      </w:r>
      <w:r w:rsidRPr="00ED3176">
        <w:t>m</w:t>
      </w:r>
      <w:r w:rsidRPr="00ED3176">
        <w:rPr>
          <w:vertAlign w:val="superscript"/>
        </w:rPr>
        <w:t>3</w:t>
      </w:r>
    </w:p>
    <w:p w14:paraId="5836ACBC" w14:textId="77777777" w:rsidR="00254812" w:rsidRPr="00ED3176" w:rsidRDefault="00254812" w:rsidP="00254812">
      <w:pPr>
        <w:rPr>
          <w:b/>
          <w:i/>
        </w:rPr>
      </w:pPr>
      <w:r w:rsidRPr="00ED3176">
        <w:rPr>
          <w:b/>
          <w:i/>
        </w:rPr>
        <w:t>Základní parametry technologické části</w:t>
      </w:r>
    </w:p>
    <w:p w14:paraId="448D965E" w14:textId="77777777" w:rsidR="00B21C71" w:rsidRPr="00ED3176" w:rsidRDefault="00B21C71" w:rsidP="00254812">
      <w:r w:rsidRPr="00ED3176">
        <w:t xml:space="preserve">Výkon kotelny </w:t>
      </w:r>
      <w:r w:rsidRPr="00ED3176">
        <w:tab/>
      </w:r>
      <w:r w:rsidRPr="00ED3176">
        <w:tab/>
      </w:r>
      <w:r w:rsidRPr="00ED3176">
        <w:tab/>
      </w:r>
      <w:r w:rsidRPr="00ED3176">
        <w:tab/>
      </w:r>
      <w:r w:rsidRPr="00ED3176">
        <w:tab/>
      </w:r>
      <w:r w:rsidRPr="00ED3176">
        <w:tab/>
      </w:r>
      <w:r w:rsidRPr="00ED3176">
        <w:tab/>
      </w:r>
      <w:r w:rsidRPr="00ED3176">
        <w:tab/>
        <w:t>370 kW (80/60 °C)</w:t>
      </w:r>
    </w:p>
    <w:p w14:paraId="06CE6779" w14:textId="77777777" w:rsidR="00B21C71" w:rsidRPr="00ED3176" w:rsidRDefault="00B21C71" w:rsidP="00254812">
      <w:r w:rsidRPr="00ED3176">
        <w:t>Objem ohříváků TV</w:t>
      </w:r>
      <w:r w:rsidRPr="00ED3176">
        <w:tab/>
      </w:r>
      <w:r w:rsidRPr="00ED3176">
        <w:tab/>
      </w:r>
      <w:r w:rsidRPr="00ED3176">
        <w:tab/>
      </w:r>
      <w:r w:rsidRPr="00ED3176">
        <w:tab/>
      </w:r>
      <w:r w:rsidRPr="00ED3176">
        <w:tab/>
      </w:r>
      <w:r w:rsidRPr="00ED3176">
        <w:tab/>
      </w:r>
      <w:r w:rsidRPr="00ED3176">
        <w:tab/>
        <w:t>2x750 litrů</w:t>
      </w:r>
    </w:p>
    <w:p w14:paraId="37643FD6" w14:textId="77777777" w:rsidR="00DA1F74" w:rsidRPr="00ED3176" w:rsidRDefault="00DA1F74" w:rsidP="00DA1F74">
      <w:pPr>
        <w:pStyle w:val="Nadpis3"/>
      </w:pPr>
      <w:bookmarkStart w:id="37" w:name="_Toc464039845"/>
      <w:bookmarkStart w:id="38" w:name="_Toc36726784"/>
      <w:r w:rsidRPr="00ED3176">
        <w:t>základní bilance stavby</w:t>
      </w:r>
      <w:bookmarkEnd w:id="37"/>
      <w:bookmarkEnd w:id="38"/>
    </w:p>
    <w:p w14:paraId="1BF1B508" w14:textId="77777777" w:rsidR="00DA1F74" w:rsidRPr="00ED3176" w:rsidRDefault="00DA1F74" w:rsidP="00DA1F74">
      <w:r w:rsidRPr="00ED3176">
        <w:t>Nová kotelna nahradí stávající koteln</w:t>
      </w:r>
      <w:r w:rsidR="00ED3176" w:rsidRPr="00ED3176">
        <w:t xml:space="preserve">u. </w:t>
      </w:r>
      <w:r w:rsidRPr="00ED3176">
        <w:t xml:space="preserve">Nová kotelna bude splňovat </w:t>
      </w:r>
      <w:r w:rsidR="00ED3176" w:rsidRPr="00ED3176">
        <w:t xml:space="preserve">platné </w:t>
      </w:r>
      <w:r w:rsidRPr="00ED3176">
        <w:t xml:space="preserve">emisní limity pro. </w:t>
      </w:r>
    </w:p>
    <w:p w14:paraId="22BAC7E7" w14:textId="77777777" w:rsidR="00DA1F74" w:rsidRPr="00ED3176" w:rsidRDefault="00DA1F74" w:rsidP="00ED3176">
      <w:r w:rsidRPr="00ED3176">
        <w:t xml:space="preserve">Odpady vzniklé při realizaci stavby jsou standardní stavební odpady (cihly, beton) včetně obalů stavebních materiálů (papír, lepenka PE atd.) Při realizaci technologické části budou vznikat kovové odpady a odpady </w:t>
      </w:r>
      <w:proofErr w:type="spellStart"/>
      <w:r w:rsidRPr="00ED3176">
        <w:t>elektročásti</w:t>
      </w:r>
      <w:proofErr w:type="spellEnd"/>
      <w:r w:rsidRPr="00ED3176">
        <w:t xml:space="preserve"> (kabely, vodiče).</w:t>
      </w:r>
    </w:p>
    <w:sectPr w:rsidR="00DA1F74" w:rsidRPr="00ED3176">
      <w:footerReference w:type="default" r:id="rId7"/>
      <w:pgSz w:w="11906" w:h="16838"/>
      <w:pgMar w:top="1258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ADFFF9" w14:textId="77777777" w:rsidR="005A54AE" w:rsidRDefault="005A54AE">
      <w:pPr>
        <w:spacing w:after="0" w:line="240" w:lineRule="auto"/>
      </w:pPr>
      <w:r>
        <w:separator/>
      </w:r>
    </w:p>
  </w:endnote>
  <w:endnote w:type="continuationSeparator" w:id="0">
    <w:p w14:paraId="223D7E86" w14:textId="77777777" w:rsidR="005A54AE" w:rsidRDefault="005A5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ont718">
    <w:altName w:val="Times New Roman"/>
    <w:charset w:val="EE"/>
    <w:family w:val="auto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37952" w14:textId="77777777" w:rsidR="00103874" w:rsidRDefault="00103874">
    <w:pPr>
      <w:pStyle w:val="Zpat"/>
      <w:jc w:val="center"/>
    </w:pPr>
    <w:r>
      <w:rPr>
        <w:i/>
        <w:iCs/>
        <w:sz w:val="16"/>
        <w:szCs w:val="16"/>
      </w:rPr>
      <w:fldChar w:fldCharType="begin"/>
    </w:r>
    <w:r>
      <w:rPr>
        <w:i/>
        <w:iCs/>
        <w:sz w:val="16"/>
        <w:szCs w:val="16"/>
      </w:rPr>
      <w:instrText xml:space="preserve"> PAGE </w:instrText>
    </w:r>
    <w:r>
      <w:rPr>
        <w:i/>
        <w:iCs/>
        <w:sz w:val="16"/>
        <w:szCs w:val="16"/>
      </w:rPr>
      <w:fldChar w:fldCharType="separate"/>
    </w:r>
    <w:r>
      <w:rPr>
        <w:i/>
        <w:iCs/>
        <w:noProof/>
        <w:sz w:val="16"/>
        <w:szCs w:val="16"/>
      </w:rPr>
      <w:t>16</w:t>
    </w:r>
    <w:r>
      <w:rPr>
        <w:i/>
        <w:iCs/>
        <w:sz w:val="16"/>
        <w:szCs w:val="16"/>
      </w:rPr>
      <w:fldChar w:fldCharType="end"/>
    </w:r>
    <w:r>
      <w:rPr>
        <w:rFonts w:eastAsia="Calibri"/>
        <w:i/>
        <w:iCs/>
        <w:sz w:val="16"/>
        <w:szCs w:val="16"/>
      </w:rPr>
      <w:t xml:space="preserve"> </w:t>
    </w:r>
    <w:r>
      <w:rPr>
        <w:i/>
        <w:iCs/>
        <w:sz w:val="16"/>
        <w:szCs w:val="16"/>
      </w:rPr>
      <w:t xml:space="preserve">/ </w:t>
    </w:r>
    <w:r>
      <w:rPr>
        <w:i/>
        <w:iCs/>
        <w:sz w:val="16"/>
        <w:szCs w:val="16"/>
      </w:rPr>
      <w:fldChar w:fldCharType="begin"/>
    </w:r>
    <w:r>
      <w:rPr>
        <w:i/>
        <w:iCs/>
        <w:sz w:val="16"/>
        <w:szCs w:val="16"/>
      </w:rPr>
      <w:instrText xml:space="preserve"> NUMPAGES \* ARABIC </w:instrText>
    </w:r>
    <w:r>
      <w:rPr>
        <w:i/>
        <w:iCs/>
        <w:sz w:val="16"/>
        <w:szCs w:val="16"/>
      </w:rPr>
      <w:fldChar w:fldCharType="separate"/>
    </w:r>
    <w:r>
      <w:rPr>
        <w:i/>
        <w:iCs/>
        <w:noProof/>
        <w:sz w:val="16"/>
        <w:szCs w:val="16"/>
      </w:rPr>
      <w:t>17</w:t>
    </w:r>
    <w:r>
      <w:rPr>
        <w:i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D89AD1" w14:textId="77777777" w:rsidR="005A54AE" w:rsidRDefault="005A54AE">
      <w:pPr>
        <w:spacing w:after="0" w:line="240" w:lineRule="auto"/>
      </w:pPr>
      <w:r>
        <w:separator/>
      </w:r>
    </w:p>
  </w:footnote>
  <w:footnote w:type="continuationSeparator" w:id="0">
    <w:p w14:paraId="74521A43" w14:textId="77777777" w:rsidR="005A54AE" w:rsidRDefault="005A54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dpis5"/>
      <w:lvlText w:val="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"/>
      <w:lvlText w:val="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"/>
      <w:lvlText w:val="%4.%5.%6.%7.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"/>
      <w:lvlText w:val="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"/>
      <w:lvlText w:val="%4.%5.%6.%7.%8.%9.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b w:val="0"/>
        <w:i w:val="0"/>
        <w:color w:val="auto"/>
        <w:sz w:val="24"/>
      </w:rPr>
    </w:lvl>
  </w:abstractNum>
  <w:abstractNum w:abstractNumId="2" w15:restartNumberingAfterBreak="0">
    <w:nsid w:val="00000003"/>
    <w:multiLevelType w:val="multilevel"/>
    <w:tmpl w:val="A7A8794A"/>
    <w:name w:val="WW8Num3"/>
    <w:lvl w:ilvl="0">
      <w:numFmt w:val="decimal"/>
      <w:pStyle w:val="Nadpis1"/>
      <w:lvlText w:val="B %1"/>
      <w:lvlJc w:val="left"/>
      <w:pPr>
        <w:tabs>
          <w:tab w:val="num" w:pos="0"/>
        </w:tabs>
        <w:ind w:left="567" w:hanging="567"/>
      </w:pPr>
      <w:rPr>
        <w:rFonts w:ascii="Calibri" w:hAnsi="Calibri" w:cs="Calibri" w:hint="default"/>
        <w:sz w:val="32"/>
      </w:rPr>
    </w:lvl>
    <w:lvl w:ilvl="1">
      <w:start w:val="1"/>
      <w:numFmt w:val="decimal"/>
      <w:pStyle w:val="Nadpis2"/>
      <w:lvlText w:val="B %1.%2"/>
      <w:lvlJc w:val="left"/>
      <w:pPr>
        <w:tabs>
          <w:tab w:val="num" w:pos="0"/>
        </w:tabs>
        <w:ind w:left="680" w:hanging="680"/>
      </w:pPr>
      <w:rPr>
        <w:rFonts w:ascii="Calibri" w:hAnsi="Calibri" w:cs="Calibri" w:hint="default"/>
        <w:sz w:val="28"/>
      </w:rPr>
    </w:lvl>
    <w:lvl w:ilvl="2">
      <w:start w:val="1"/>
      <w:numFmt w:val="lowerLetter"/>
      <w:pStyle w:val="Nadpis3"/>
      <w:lvlText w:val="%3 )"/>
      <w:lvlJc w:val="left"/>
      <w:pPr>
        <w:tabs>
          <w:tab w:val="num" w:pos="0"/>
        </w:tabs>
        <w:ind w:left="425" w:hanging="14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6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6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7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7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7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55" w:hanging="144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2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70066960"/>
    <w:multiLevelType w:val="multilevel"/>
    <w:tmpl w:val="578CEA0C"/>
    <w:lvl w:ilvl="0">
      <w:start w:val="1"/>
      <w:numFmt w:val="bullet"/>
      <w:pStyle w:val="Seznamsodrkami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cs="Symbol" w:hint="default"/>
        <w:b w:val="0"/>
        <w:i w:val="0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3"/>
    <w:lvlOverride w:ilvl="0">
      <w:startOverride w:val="1"/>
    </w:lvlOverride>
  </w:num>
  <w:num w:numId="7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</w:num>
  <w:num w:numId="9">
    <w:abstractNumId w:val="3"/>
    <w:lvlOverride w:ilvl="0">
      <w:startOverride w:val="1"/>
    </w:lvlOverride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5"/>
  </w:num>
  <w:num w:numId="15">
    <w:abstractNumId w:val="2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87F"/>
    <w:rsid w:val="000069D6"/>
    <w:rsid w:val="000118C0"/>
    <w:rsid w:val="000218C1"/>
    <w:rsid w:val="0004171E"/>
    <w:rsid w:val="0005770E"/>
    <w:rsid w:val="000B2417"/>
    <w:rsid w:val="000D3C4F"/>
    <w:rsid w:val="00103874"/>
    <w:rsid w:val="00112311"/>
    <w:rsid w:val="00166B4A"/>
    <w:rsid w:val="00237A36"/>
    <w:rsid w:val="00254812"/>
    <w:rsid w:val="00266B14"/>
    <w:rsid w:val="002E22D0"/>
    <w:rsid w:val="002F4596"/>
    <w:rsid w:val="00311F86"/>
    <w:rsid w:val="003224FC"/>
    <w:rsid w:val="00365886"/>
    <w:rsid w:val="00392BB7"/>
    <w:rsid w:val="00431E11"/>
    <w:rsid w:val="0043423E"/>
    <w:rsid w:val="00455B51"/>
    <w:rsid w:val="0046041A"/>
    <w:rsid w:val="00461E62"/>
    <w:rsid w:val="00501B38"/>
    <w:rsid w:val="00503AD5"/>
    <w:rsid w:val="00532176"/>
    <w:rsid w:val="00532EA7"/>
    <w:rsid w:val="0058260B"/>
    <w:rsid w:val="00590FF9"/>
    <w:rsid w:val="005A54AE"/>
    <w:rsid w:val="005B32CF"/>
    <w:rsid w:val="005E26C8"/>
    <w:rsid w:val="005E2BEE"/>
    <w:rsid w:val="005F6220"/>
    <w:rsid w:val="005F7BC6"/>
    <w:rsid w:val="0064029D"/>
    <w:rsid w:val="00677F9E"/>
    <w:rsid w:val="006F1449"/>
    <w:rsid w:val="00755419"/>
    <w:rsid w:val="007C6F8D"/>
    <w:rsid w:val="007E7195"/>
    <w:rsid w:val="00827AAB"/>
    <w:rsid w:val="0084301E"/>
    <w:rsid w:val="00875AE5"/>
    <w:rsid w:val="00950710"/>
    <w:rsid w:val="00966BE3"/>
    <w:rsid w:val="00A2687F"/>
    <w:rsid w:val="00A927EB"/>
    <w:rsid w:val="00AA677D"/>
    <w:rsid w:val="00B21C71"/>
    <w:rsid w:val="00B24A27"/>
    <w:rsid w:val="00B5127A"/>
    <w:rsid w:val="00B767C7"/>
    <w:rsid w:val="00BA2A72"/>
    <w:rsid w:val="00BD3B59"/>
    <w:rsid w:val="00C04EA1"/>
    <w:rsid w:val="00C07064"/>
    <w:rsid w:val="00C30167"/>
    <w:rsid w:val="00C3374D"/>
    <w:rsid w:val="00C6158A"/>
    <w:rsid w:val="00CB4F8F"/>
    <w:rsid w:val="00CD05C6"/>
    <w:rsid w:val="00CF038C"/>
    <w:rsid w:val="00D004A0"/>
    <w:rsid w:val="00D17062"/>
    <w:rsid w:val="00D22686"/>
    <w:rsid w:val="00D27917"/>
    <w:rsid w:val="00D27B21"/>
    <w:rsid w:val="00D352E8"/>
    <w:rsid w:val="00D434FA"/>
    <w:rsid w:val="00D61A3B"/>
    <w:rsid w:val="00D82789"/>
    <w:rsid w:val="00DA1F74"/>
    <w:rsid w:val="00DA2AD2"/>
    <w:rsid w:val="00E06BFE"/>
    <w:rsid w:val="00E619DF"/>
    <w:rsid w:val="00EC4728"/>
    <w:rsid w:val="00ED3176"/>
    <w:rsid w:val="00F32547"/>
    <w:rsid w:val="00F40314"/>
    <w:rsid w:val="00F42D17"/>
    <w:rsid w:val="00F6547D"/>
    <w:rsid w:val="00FB4A5D"/>
    <w:rsid w:val="00FD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7F63A8"/>
  <w15:docId w15:val="{6CCEAFA9-38CA-46F5-8014-D84C689EC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6BE3"/>
    <w:pPr>
      <w:widowControl w:val="0"/>
      <w:suppressAutoHyphens/>
      <w:autoSpaceDE w:val="0"/>
      <w:spacing w:after="120" w:line="252" w:lineRule="auto"/>
      <w:ind w:firstLine="284"/>
      <w:jc w:val="both"/>
    </w:pPr>
    <w:rPr>
      <w:rFonts w:ascii="Calibri" w:hAnsi="Calibri" w:cs="Arial"/>
      <w:sz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3"/>
      </w:numPr>
      <w:spacing w:before="240" w:after="60"/>
      <w:outlineLvl w:val="0"/>
    </w:pPr>
    <w:rPr>
      <w:rFonts w:cs="Times New Roman"/>
      <w:b/>
      <w:bCs/>
      <w:caps/>
      <w:kern w:val="1"/>
      <w:sz w:val="32"/>
      <w:szCs w:val="32"/>
    </w:rPr>
  </w:style>
  <w:style w:type="paragraph" w:styleId="Nadpis2">
    <w:name w:val="heading 2"/>
    <w:basedOn w:val="Nadpis1"/>
    <w:next w:val="Normln"/>
    <w:qFormat/>
    <w:rsid w:val="00CF038C"/>
    <w:pPr>
      <w:numPr>
        <w:ilvl w:val="1"/>
      </w:numPr>
      <w:outlineLvl w:val="1"/>
    </w:pPr>
    <w:rPr>
      <w:caps w:val="0"/>
      <w:sz w:val="28"/>
      <w:lang w:eastAsia="cs-CZ"/>
    </w:rPr>
  </w:style>
  <w:style w:type="paragraph" w:styleId="Nadpis3">
    <w:name w:val="heading 3"/>
    <w:basedOn w:val="Nadpis2"/>
    <w:next w:val="Normln"/>
    <w:qFormat/>
    <w:rsid w:val="00CF038C"/>
    <w:pPr>
      <w:numPr>
        <w:ilvl w:val="2"/>
      </w:numPr>
      <w:autoSpaceDE/>
      <w:spacing w:line="240" w:lineRule="auto"/>
      <w:outlineLvl w:val="2"/>
    </w:pPr>
    <w:rPr>
      <w:sz w:val="24"/>
    </w:rPr>
  </w:style>
  <w:style w:type="paragraph" w:styleId="Nadpis4">
    <w:name w:val="heading 4"/>
    <w:basedOn w:val="Normln"/>
    <w:next w:val="Normln"/>
    <w:pPr>
      <w:keepNext/>
      <w:widowControl/>
      <w:numPr>
        <w:ilvl w:val="3"/>
        <w:numId w:val="1"/>
      </w:numPr>
      <w:autoSpaceDE/>
      <w:spacing w:before="240" w:after="60" w:line="240" w:lineRule="auto"/>
      <w:jc w:val="left"/>
      <w:outlineLvl w:val="3"/>
    </w:pPr>
    <w:rPr>
      <w:rFonts w:ascii="Times New Roman" w:eastAsia="SimSun" w:hAnsi="Times New Roman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pPr>
      <w:widowControl/>
      <w:numPr>
        <w:ilvl w:val="4"/>
        <w:numId w:val="1"/>
      </w:numPr>
      <w:autoSpaceDE/>
      <w:spacing w:before="240" w:after="60" w:line="240" w:lineRule="auto"/>
      <w:jc w:val="left"/>
      <w:outlineLvl w:val="4"/>
    </w:pPr>
    <w:rPr>
      <w:rFonts w:ascii="Times New Roman" w:eastAsia="SimSun" w:hAnsi="Times New Roman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pPr>
      <w:widowControl/>
      <w:numPr>
        <w:ilvl w:val="5"/>
        <w:numId w:val="1"/>
      </w:numPr>
      <w:autoSpaceDE/>
      <w:spacing w:before="240" w:after="60" w:line="240" w:lineRule="auto"/>
      <w:jc w:val="left"/>
      <w:outlineLvl w:val="5"/>
    </w:pPr>
    <w:rPr>
      <w:rFonts w:ascii="Times New Roman" w:eastAsia="SimSun" w:hAnsi="Times New Roman" w:cs="Times New Roman"/>
      <w:b/>
      <w:bCs/>
      <w:sz w:val="22"/>
      <w:szCs w:val="22"/>
    </w:rPr>
  </w:style>
  <w:style w:type="paragraph" w:styleId="Nadpis7">
    <w:name w:val="heading 7"/>
    <w:basedOn w:val="Normln"/>
    <w:next w:val="Normln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 w:cs="Times New Roman"/>
      <w:color w:val="404040"/>
      <w:sz w:val="20"/>
    </w:rPr>
  </w:style>
  <w:style w:type="paragraph" w:styleId="Nadpis9">
    <w:name w:val="heading 9"/>
    <w:basedOn w:val="Normln"/>
    <w:next w:val="Normln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 w:cs="Times New Roman"/>
      <w:i/>
      <w:iCs/>
      <w:color w:val="40404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b w:val="0"/>
      <w:i w:val="0"/>
      <w:color w:val="auto"/>
      <w:sz w:val="24"/>
    </w:rPr>
  </w:style>
  <w:style w:type="character" w:customStyle="1" w:styleId="WW8Num3z0">
    <w:name w:val="WW8Num3z0"/>
    <w:rPr>
      <w:rFonts w:ascii="Calibri" w:hAnsi="Calibri" w:cs="Calibri" w:hint="default"/>
      <w:sz w:val="32"/>
    </w:rPr>
  </w:style>
  <w:style w:type="character" w:customStyle="1" w:styleId="WW8Num3z1">
    <w:name w:val="WW8Num3z1"/>
    <w:rPr>
      <w:rFonts w:ascii="Calibri" w:hAnsi="Calibri" w:cs="Calibri" w:hint="default"/>
      <w:sz w:val="28"/>
    </w:rPr>
  </w:style>
  <w:style w:type="character" w:customStyle="1" w:styleId="WW8Num3z2">
    <w:name w:val="WW8Num3z2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5z0">
    <w:name w:val="WW8Num5z0"/>
    <w:rPr>
      <w:rFonts w:ascii="Calibri" w:hAnsi="Calibri" w:cs="Calibri"/>
      <w:b w:val="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Standardnpsmoodstavce2">
    <w:name w:val="Standardní písmo odstavce2"/>
  </w:style>
  <w:style w:type="character" w:customStyle="1" w:styleId="WW8Num2z1">
    <w:name w:val="WW8Num2z1"/>
    <w:rPr>
      <w:rFonts w:hint="default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Arial"/>
      <w:color w:val="545E57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Arial"/>
      <w:color w:val="545E57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b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 w:val="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ascii="Symbol" w:hAnsi="Symbol" w:cs="Symbol" w:hint="default"/>
      <w:b w:val="0"/>
      <w:i w:val="0"/>
      <w:color w:val="auto"/>
      <w:sz w:val="24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Calibri" w:hAnsi="Calibri" w:cs="Calibri" w:hint="default"/>
      <w:sz w:val="32"/>
    </w:rPr>
  </w:style>
  <w:style w:type="character" w:customStyle="1" w:styleId="WW8Num17z1">
    <w:name w:val="WW8Num17z1"/>
    <w:rPr>
      <w:rFonts w:ascii="Calibri" w:hAnsi="Calibri" w:cs="Calibri" w:hint="default"/>
      <w:sz w:val="28"/>
    </w:rPr>
  </w:style>
  <w:style w:type="character" w:customStyle="1" w:styleId="WW8Num17z2">
    <w:name w:val="WW8Num17z2"/>
    <w:rPr>
      <w:rFonts w:hint="default"/>
    </w:rPr>
  </w:style>
  <w:style w:type="character" w:customStyle="1" w:styleId="WW8Num18z0">
    <w:name w:val="WW8Num18z0"/>
    <w:rPr>
      <w:rFonts w:hint="default"/>
      <w:b w:val="0"/>
      <w:i w:val="0"/>
      <w:sz w:val="24"/>
      <w:szCs w:val="24"/>
    </w:rPr>
  </w:style>
  <w:style w:type="character" w:customStyle="1" w:styleId="WW8Num18z1">
    <w:name w:val="WW8Num18z1"/>
    <w:rPr>
      <w:rFonts w:hint="default"/>
    </w:rPr>
  </w:style>
  <w:style w:type="character" w:customStyle="1" w:styleId="WW8Num19z0">
    <w:name w:val="WW8Num19z0"/>
    <w:rPr>
      <w:rFonts w:ascii="Times New Roman" w:eastAsia="Times New Roman" w:hAnsi="Times New Roman" w:cs="Times New Roman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  <w:b w:val="0"/>
      <w:i w:val="0"/>
      <w:color w:val="auto"/>
      <w:sz w:val="24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Calibri" w:hAnsi="Calibri" w:cs="Calibri" w:hint="default"/>
      <w:sz w:val="32"/>
    </w:rPr>
  </w:style>
  <w:style w:type="character" w:customStyle="1" w:styleId="WW8Num22z1">
    <w:name w:val="WW8Num22z1"/>
    <w:rPr>
      <w:rFonts w:ascii="Calibri" w:hAnsi="Calibri" w:cs="Calibri" w:hint="default"/>
      <w:sz w:val="28"/>
    </w:rPr>
  </w:style>
  <w:style w:type="character" w:customStyle="1" w:styleId="WW8Num22z2">
    <w:name w:val="WW8Num22z2"/>
    <w:rPr>
      <w:rFonts w:hint="default"/>
    </w:rPr>
  </w:style>
  <w:style w:type="character" w:customStyle="1" w:styleId="WW8Num23z0">
    <w:name w:val="WW8Num23z0"/>
    <w:rPr>
      <w:rFonts w:ascii="Calibri" w:hAnsi="Calibri" w:cs="Calibri" w:hint="default"/>
      <w:sz w:val="32"/>
    </w:rPr>
  </w:style>
  <w:style w:type="character" w:customStyle="1" w:styleId="WW8Num23z1">
    <w:name w:val="WW8Num23z1"/>
    <w:rPr>
      <w:rFonts w:ascii="Calibri" w:hAnsi="Calibri" w:cs="Calibri" w:hint="default"/>
      <w:sz w:val="28"/>
    </w:rPr>
  </w:style>
  <w:style w:type="character" w:customStyle="1" w:styleId="WW8Num23z2">
    <w:name w:val="WW8Num23z2"/>
    <w:rPr>
      <w:rFonts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ascii="Symbol" w:hAnsi="Symbol" w:cs="Symbol" w:hint="default"/>
      <w:b w:val="0"/>
      <w:i w:val="0"/>
      <w:color w:val="auto"/>
      <w:sz w:val="24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St5z0">
    <w:name w:val="WW8NumSt5z0"/>
    <w:rPr>
      <w:rFonts w:ascii="Calibri" w:hAnsi="Calibri" w:cs="Calibri" w:hint="default"/>
      <w:sz w:val="28"/>
    </w:rPr>
  </w:style>
  <w:style w:type="character" w:customStyle="1" w:styleId="Standardnpsmoodstavce1">
    <w:name w:val="Standardní písmo odstavce1"/>
  </w:style>
  <w:style w:type="character" w:customStyle="1" w:styleId="Standardnpsmoodstavce3">
    <w:name w:val="Standardní písmo odstavce3"/>
  </w:style>
  <w:style w:type="character" w:customStyle="1" w:styleId="ZhlavChar">
    <w:name w:val="Záhlaví Char"/>
    <w:basedOn w:val="Standardnpsmoodstavce3"/>
  </w:style>
  <w:style w:type="character" w:customStyle="1" w:styleId="ZpatChar">
    <w:name w:val="Zápatí Char"/>
    <w:basedOn w:val="Standardnpsmoodstavce3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StylAqpTextArial11bChar">
    <w:name w:val="Styl AqpText + Arial 11 b. Char"/>
    <w:rPr>
      <w:rFonts w:ascii="Arial Narrow" w:eastAsia="Times New Roman" w:hAnsi="Arial Narrow" w:cs="Times New Roman"/>
      <w:szCs w:val="24"/>
    </w:rPr>
  </w:style>
  <w:style w:type="character" w:customStyle="1" w:styleId="Nadpis1Char">
    <w:name w:val="Nadpis 1 Char"/>
    <w:rPr>
      <w:rFonts w:ascii="Calibri" w:hAnsi="Calibri" w:cs="Arial"/>
      <w:b/>
      <w:bCs/>
      <w:caps/>
      <w:kern w:val="1"/>
      <w:sz w:val="32"/>
      <w:szCs w:val="32"/>
    </w:rPr>
  </w:style>
  <w:style w:type="character" w:customStyle="1" w:styleId="Nadpis2Char">
    <w:name w:val="Nadpis 2 Char"/>
    <w:rPr>
      <w:rFonts w:ascii="Calibri" w:hAnsi="Calibri" w:cs="Arial"/>
      <w:b/>
      <w:bCs/>
      <w:kern w:val="1"/>
      <w:sz w:val="28"/>
      <w:szCs w:val="32"/>
    </w:rPr>
  </w:style>
  <w:style w:type="character" w:customStyle="1" w:styleId="Nadpis3Char">
    <w:name w:val="Nadpis 3 Char"/>
    <w:rPr>
      <w:rFonts w:ascii="Calibri" w:hAnsi="Calibri" w:cs="Arial"/>
      <w:b/>
      <w:bCs/>
      <w:kern w:val="1"/>
      <w:sz w:val="24"/>
      <w:szCs w:val="32"/>
    </w:rPr>
  </w:style>
  <w:style w:type="character" w:customStyle="1" w:styleId="Nadpis4Char">
    <w:name w:val="Nadpis 4 Char"/>
    <w:rPr>
      <w:rFonts w:eastAsia="SimSun" w:cs="font718"/>
      <w:b/>
      <w:bCs/>
      <w:sz w:val="28"/>
      <w:szCs w:val="28"/>
    </w:rPr>
  </w:style>
  <w:style w:type="character" w:customStyle="1" w:styleId="Nadpis5Char">
    <w:name w:val="Nadpis 5 Char"/>
    <w:rPr>
      <w:rFonts w:eastAsia="SimSun" w:cs="font718"/>
      <w:b/>
      <w:bCs/>
      <w:i/>
      <w:iCs/>
      <w:sz w:val="26"/>
      <w:szCs w:val="26"/>
    </w:rPr>
  </w:style>
  <w:style w:type="character" w:customStyle="1" w:styleId="Nadpis6Char">
    <w:name w:val="Nadpis 6 Char"/>
    <w:rPr>
      <w:rFonts w:eastAsia="SimSun" w:cs="font718"/>
      <w:b/>
      <w:bCs/>
      <w:sz w:val="22"/>
      <w:szCs w:val="22"/>
    </w:rPr>
  </w:style>
  <w:style w:type="character" w:customStyle="1" w:styleId="Nadpis7Char">
    <w:name w:val="Nadpis 7 Char"/>
    <w:rPr>
      <w:rFonts w:ascii="Cambria" w:hAnsi="Cambria" w:cs="Cambria"/>
      <w:i/>
      <w:iCs/>
      <w:color w:val="404040"/>
      <w:sz w:val="24"/>
    </w:rPr>
  </w:style>
  <w:style w:type="character" w:customStyle="1" w:styleId="Nadpis8Char">
    <w:name w:val="Nadpis 8 Char"/>
    <w:rPr>
      <w:rFonts w:ascii="Cambria" w:hAnsi="Cambria" w:cs="Cambria"/>
      <w:color w:val="404040"/>
    </w:rPr>
  </w:style>
  <w:style w:type="character" w:customStyle="1" w:styleId="Nadpis9Char">
    <w:name w:val="Nadpis 9 Char"/>
    <w:rPr>
      <w:rFonts w:ascii="Cambria" w:hAnsi="Cambria" w:cs="Cambria"/>
      <w:i/>
      <w:iCs/>
      <w:color w:val="404040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 w:val="0"/>
      <w:bCs w:val="0"/>
      <w:i w:val="0"/>
      <w:iCs w:val="0"/>
      <w:color w:val="00000A"/>
    </w:rPr>
  </w:style>
  <w:style w:type="character" w:customStyle="1" w:styleId="ListLabel5">
    <w:name w:val="ListLabel 5"/>
    <w:rPr>
      <w:rFonts w:cs="Arial"/>
      <w:b w:val="0"/>
      <w:bCs w:val="0"/>
      <w:i w:val="0"/>
      <w:iCs w:val="0"/>
      <w:caps w:val="0"/>
      <w:smallCaps w:val="0"/>
      <w:dstrike/>
      <w:vanish w:val="0"/>
      <w:color w:val="00000A"/>
      <w:spacing w:val="0"/>
      <w:w w:val="100"/>
      <w:kern w:val="1"/>
      <w:position w:val="0"/>
      <w:sz w:val="22"/>
      <w:szCs w:val="22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6">
    <w:name w:val="ListLabel 6"/>
    <w:rPr>
      <w:rFonts w:cs="Arial"/>
      <w:color w:val="545E57"/>
    </w:rPr>
  </w:style>
  <w:style w:type="character" w:styleId="Hypertextovodkaz">
    <w:name w:val="Hyperlink"/>
    <w:uiPriority w:val="99"/>
    <w:rPr>
      <w:rFonts w:ascii="Arial" w:hAnsi="Arial" w:cs="Arial"/>
      <w:color w:val="0000FF"/>
      <w:sz w:val="22"/>
      <w:u w:val="none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line="276" w:lineRule="auto"/>
    </w:pPr>
    <w:rPr>
      <w:rFonts w:ascii="Arial" w:eastAsia="SimSun" w:hAnsi="Arial" w:cs="Mangal"/>
      <w:kern w:val="1"/>
      <w:sz w:val="28"/>
      <w:szCs w:val="28"/>
    </w:rPr>
  </w:style>
  <w:style w:type="paragraph" w:styleId="Zkladntext">
    <w:name w:val="Body Text"/>
    <w:basedOn w:val="Normln"/>
    <w:link w:val="ZkladntextChar"/>
    <w:pPr>
      <w:spacing w:line="276" w:lineRule="auto"/>
    </w:pPr>
    <w:rPr>
      <w:rFonts w:eastAsia="SimSun" w:cs="Calibri"/>
      <w:kern w:val="1"/>
      <w:sz w:val="22"/>
      <w:szCs w:val="22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/>
    </w:pPr>
    <w:rPr>
      <w:i/>
      <w:iCs/>
      <w:szCs w:val="24"/>
    </w:rPr>
  </w:style>
  <w:style w:type="paragraph" w:customStyle="1" w:styleId="Rejstk">
    <w:name w:val="Rejstřík"/>
    <w:basedOn w:val="Normln"/>
    <w:pPr>
      <w:suppressLineNumbers/>
      <w:spacing w:after="200" w:line="276" w:lineRule="auto"/>
    </w:pPr>
    <w:rPr>
      <w:rFonts w:eastAsia="SimSun" w:cs="Mangal"/>
      <w:kern w:val="1"/>
      <w:sz w:val="22"/>
      <w:szCs w:val="22"/>
    </w:rPr>
  </w:style>
  <w:style w:type="paragraph" w:customStyle="1" w:styleId="Titulek1">
    <w:name w:val="Titulek1"/>
    <w:basedOn w:val="Normln"/>
    <w:pPr>
      <w:suppressLineNumbers/>
      <w:spacing w:before="120" w:line="276" w:lineRule="auto"/>
    </w:pPr>
    <w:rPr>
      <w:rFonts w:eastAsia="SimSun" w:cs="Mangal"/>
      <w:i/>
      <w:iCs/>
      <w:kern w:val="1"/>
    </w:r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  <w:spacing w:line="100" w:lineRule="atLeast"/>
    </w:pPr>
    <w:rPr>
      <w:rFonts w:eastAsia="SimSun" w:cs="Calibri"/>
      <w:kern w:val="1"/>
      <w:sz w:val="22"/>
      <w:szCs w:val="22"/>
    </w:r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  <w:spacing w:line="100" w:lineRule="atLeast"/>
    </w:pPr>
    <w:rPr>
      <w:rFonts w:eastAsia="SimSun" w:cs="Calibri"/>
      <w:kern w:val="1"/>
      <w:sz w:val="22"/>
      <w:szCs w:val="22"/>
    </w:rPr>
  </w:style>
  <w:style w:type="paragraph" w:customStyle="1" w:styleId="Textbubliny1">
    <w:name w:val="Text bubliny1"/>
    <w:basedOn w:val="Normln"/>
    <w:pPr>
      <w:spacing w:line="100" w:lineRule="atLeast"/>
    </w:pPr>
    <w:rPr>
      <w:rFonts w:ascii="Tahoma" w:eastAsia="SimSun" w:hAnsi="Tahoma" w:cs="Tahoma"/>
      <w:kern w:val="1"/>
      <w:sz w:val="16"/>
      <w:szCs w:val="16"/>
    </w:rPr>
  </w:style>
  <w:style w:type="paragraph" w:customStyle="1" w:styleId="Odstavecseseznamem1">
    <w:name w:val="Odstavec se seznamem1"/>
    <w:basedOn w:val="Normln"/>
    <w:pPr>
      <w:spacing w:after="200" w:line="276" w:lineRule="auto"/>
      <w:ind w:left="720"/>
    </w:pPr>
    <w:rPr>
      <w:rFonts w:eastAsia="SimSun" w:cs="Calibri"/>
      <w:kern w:val="1"/>
      <w:sz w:val="22"/>
      <w:szCs w:val="22"/>
    </w:rPr>
  </w:style>
  <w:style w:type="paragraph" w:customStyle="1" w:styleId="StylAqpTextArial11b">
    <w:name w:val="Styl AqpText + Arial 11 b."/>
    <w:basedOn w:val="Normln"/>
    <w:pPr>
      <w:spacing w:before="120" w:line="100" w:lineRule="atLeast"/>
    </w:pPr>
    <w:rPr>
      <w:rFonts w:ascii="Arial Narrow" w:hAnsi="Arial Narrow" w:cs="Arial Narrow"/>
      <w:kern w:val="1"/>
      <w:sz w:val="22"/>
    </w:rPr>
  </w:style>
  <w:style w:type="paragraph" w:customStyle="1" w:styleId="Bezmezer1">
    <w:name w:val="Bez mezer1"/>
    <w:pPr>
      <w:suppressAutoHyphens/>
      <w:spacing w:line="100" w:lineRule="atLeast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Styl">
    <w:name w:val="Styl"/>
    <w:pPr>
      <w:widowControl w:val="0"/>
      <w:suppressAutoHyphens/>
      <w:spacing w:line="100" w:lineRule="atLeast"/>
    </w:pPr>
    <w:rPr>
      <w:rFonts w:eastAsia="SimSun" w:cs="font718"/>
      <w:kern w:val="1"/>
      <w:sz w:val="24"/>
      <w:szCs w:val="24"/>
      <w:lang w:eastAsia="zh-CN"/>
    </w:rPr>
  </w:style>
  <w:style w:type="paragraph" w:styleId="Odstavecseseznamem">
    <w:name w:val="List Paragraph"/>
    <w:basedOn w:val="Normln"/>
    <w:qFormat/>
    <w:pPr>
      <w:spacing w:before="60" w:after="60"/>
      <w:ind w:firstLine="0"/>
      <w:contextualSpacing/>
    </w:pPr>
    <w:rPr>
      <w:rFonts w:cs="Calibri"/>
      <w:sz w:val="20"/>
    </w:rPr>
  </w:style>
  <w:style w:type="paragraph" w:styleId="Bezmezer">
    <w:name w:val="No Spacing"/>
    <w:qFormat/>
    <w:pPr>
      <w:widowControl w:val="0"/>
      <w:suppressAutoHyphens/>
      <w:autoSpaceDE w:val="0"/>
      <w:ind w:firstLine="284"/>
      <w:jc w:val="both"/>
    </w:pPr>
    <w:rPr>
      <w:rFonts w:ascii="Calibri" w:hAnsi="Calibri" w:cs="Arial"/>
      <w:sz w:val="24"/>
      <w:lang w:eastAsia="zh-CN"/>
    </w:rPr>
  </w:style>
  <w:style w:type="paragraph" w:customStyle="1" w:styleId="Hlavikaobsahu1">
    <w:name w:val="Hlavička obsahu1"/>
    <w:basedOn w:val="Nadpis1"/>
    <w:next w:val="Normln"/>
    <w:pPr>
      <w:keepLines/>
      <w:widowControl/>
      <w:numPr>
        <w:numId w:val="0"/>
      </w:numPr>
      <w:suppressAutoHyphens w:val="0"/>
      <w:autoSpaceDE/>
      <w:spacing w:before="480" w:after="0" w:line="276" w:lineRule="auto"/>
      <w:jc w:val="left"/>
    </w:pPr>
    <w:rPr>
      <w:rFonts w:ascii="Cambria" w:hAnsi="Cambria"/>
      <w:caps w:val="0"/>
      <w:color w:val="365F91"/>
      <w:sz w:val="28"/>
      <w:szCs w:val="28"/>
    </w:rPr>
  </w:style>
  <w:style w:type="paragraph" w:styleId="Obsah1">
    <w:name w:val="toc 1"/>
    <w:basedOn w:val="Normln"/>
    <w:next w:val="Normln"/>
    <w:uiPriority w:val="39"/>
  </w:style>
  <w:style w:type="paragraph" w:styleId="Obsah3">
    <w:name w:val="toc 3"/>
    <w:basedOn w:val="Normln"/>
    <w:next w:val="Normln"/>
    <w:uiPriority w:val="39"/>
    <w:pPr>
      <w:tabs>
        <w:tab w:val="left" w:pos="1100"/>
        <w:tab w:val="right" w:leader="dot" w:pos="9062"/>
      </w:tabs>
      <w:ind w:left="1134" w:hanging="370"/>
      <w:jc w:val="left"/>
    </w:pPr>
  </w:style>
  <w:style w:type="paragraph" w:styleId="Obsah2">
    <w:name w:val="toc 2"/>
    <w:basedOn w:val="Normln"/>
    <w:next w:val="Normln"/>
    <w:uiPriority w:val="39"/>
    <w:pPr>
      <w:ind w:left="24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FD039D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xtbublinyChar1">
    <w:name w:val="Text bubliny Char1"/>
    <w:link w:val="Textbubliny"/>
    <w:uiPriority w:val="99"/>
    <w:semiHidden/>
    <w:rsid w:val="00FD039D"/>
    <w:rPr>
      <w:rFonts w:ascii="Tahoma" w:hAnsi="Tahoma" w:cs="Tahoma"/>
      <w:sz w:val="16"/>
      <w:szCs w:val="16"/>
      <w:lang w:eastAsia="zh-CN"/>
    </w:rPr>
  </w:style>
  <w:style w:type="table" w:styleId="Mkatabulky">
    <w:name w:val="Table Grid"/>
    <w:basedOn w:val="Normlntabulka"/>
    <w:uiPriority w:val="59"/>
    <w:rsid w:val="00501B38"/>
    <w:rPr>
      <w:rFonts w:ascii="Calibri" w:eastAsia="Calibri" w:hAnsi="Calibri" w:cs="Calibr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znamsodrkamiChar">
    <w:name w:val="Seznam s odrážkami Char"/>
    <w:basedOn w:val="Standardnpsmoodstavce"/>
    <w:link w:val="Seznamsodrkami"/>
    <w:locked/>
    <w:rsid w:val="00103874"/>
    <w:rPr>
      <w:rFonts w:asciiTheme="minorHAnsi" w:hAnsiTheme="minorHAnsi" w:cs="Arial"/>
      <w:sz w:val="22"/>
      <w:lang w:eastAsia="ar-SA"/>
    </w:rPr>
  </w:style>
  <w:style w:type="paragraph" w:styleId="Seznamsodrkami">
    <w:name w:val="List Bullet"/>
    <w:basedOn w:val="Normln"/>
    <w:link w:val="SeznamsodrkamiChar"/>
    <w:autoRedefine/>
    <w:unhideWhenUsed/>
    <w:qFormat/>
    <w:rsid w:val="00103874"/>
    <w:pPr>
      <w:widowControl/>
      <w:numPr>
        <w:numId w:val="7"/>
      </w:num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</w:tabs>
      <w:autoSpaceDE/>
      <w:spacing w:before="120" w:after="60" w:line="240" w:lineRule="auto"/>
    </w:pPr>
    <w:rPr>
      <w:rFonts w:asciiTheme="minorHAnsi" w:hAnsiTheme="minorHAnsi"/>
      <w:sz w:val="22"/>
      <w:lang w:eastAsia="ar-SA"/>
    </w:rPr>
  </w:style>
  <w:style w:type="paragraph" w:customStyle="1" w:styleId="l5">
    <w:name w:val="l5"/>
    <w:basedOn w:val="Normln"/>
    <w:rsid w:val="00266B14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266B14"/>
    <w:rPr>
      <w:i/>
      <w:iCs/>
    </w:rPr>
  </w:style>
  <w:style w:type="paragraph" w:customStyle="1" w:styleId="l6">
    <w:name w:val="l6"/>
    <w:basedOn w:val="Normln"/>
    <w:rsid w:val="00D82789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54812"/>
    <w:rPr>
      <w:rFonts w:ascii="Calibri" w:eastAsia="SimSun" w:hAnsi="Calibri" w:cs="Calibri"/>
      <w:kern w:val="1"/>
      <w:sz w:val="22"/>
      <w:szCs w:val="22"/>
      <w:lang w:eastAsia="zh-CN"/>
    </w:rPr>
  </w:style>
  <w:style w:type="paragraph" w:customStyle="1" w:styleId="l4">
    <w:name w:val="l4"/>
    <w:basedOn w:val="Normln"/>
    <w:rsid w:val="006F1449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Vzory\Souhrnn&#225;%20dokumentace%20projektu%20P&#345;&#237;loha%2013%20(DPS)\B1%20Souhrnn&#225;%20technick&#225;%20zpr&#225;va%20DPS%20(2018-03-08)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B1 Souhrnná technická zpráva DPS (2018-03-08).dotx</Template>
  <TotalTime>85</TotalTime>
  <Pages>1</Pages>
  <Words>1503</Words>
  <Characters>8872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Stavební úpravy kotelny</vt:lpstr>
    </vt:vector>
  </TitlesOfParts>
  <Company>JOBI ENERGO s.r.o.</Company>
  <LinksUpToDate>false</LinksUpToDate>
  <CharactersWithSpaces>10355</CharactersWithSpaces>
  <SharedDoc>false</SharedDoc>
  <HLinks>
    <vt:vector size="318" baseType="variant">
      <vt:variant>
        <vt:i4>8060935</vt:i4>
      </vt:variant>
      <vt:variant>
        <vt:i4>312</vt:i4>
      </vt:variant>
      <vt:variant>
        <vt:i4>0</vt:i4>
      </vt:variant>
      <vt:variant>
        <vt:i4>5</vt:i4>
      </vt:variant>
      <vt:variant>
        <vt:lpwstr>http://portal.gov.cz/wps/portal/_s.155/701?number1=148%2F2006&amp;number2=&amp;name=&amp;text=</vt:lpwstr>
      </vt:variant>
      <vt:variant>
        <vt:lpwstr/>
      </vt:variant>
      <vt:variant>
        <vt:i4>7864320</vt:i4>
      </vt:variant>
      <vt:variant>
        <vt:i4>309</vt:i4>
      </vt:variant>
      <vt:variant>
        <vt:i4>0</vt:i4>
      </vt:variant>
      <vt:variant>
        <vt:i4>5</vt:i4>
      </vt:variant>
      <vt:variant>
        <vt:lpwstr>http://portal.gov.cz/wps/portal/_s.155/701?number1=258%2F2000&amp;number2=&amp;name=&amp;text=</vt:lpwstr>
      </vt:variant>
      <vt:variant>
        <vt:lpwstr/>
      </vt:variant>
      <vt:variant>
        <vt:i4>1376310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_Toc450306221</vt:lpwstr>
      </vt:variant>
      <vt:variant>
        <vt:i4>1376310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_Toc450306220</vt:lpwstr>
      </vt:variant>
      <vt:variant>
        <vt:i4>1441846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_Toc450306219</vt:lpwstr>
      </vt:variant>
      <vt:variant>
        <vt:i4>1441846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_Toc450306218</vt:lpwstr>
      </vt:variant>
      <vt:variant>
        <vt:i4>1441846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_Toc450306217</vt:lpwstr>
      </vt:variant>
      <vt:variant>
        <vt:i4>1441846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_Toc450306216</vt:lpwstr>
      </vt:variant>
      <vt:variant>
        <vt:i4>1441846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_Toc450306215</vt:lpwstr>
      </vt:variant>
      <vt:variant>
        <vt:i4>1441846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_Toc450306214</vt:lpwstr>
      </vt:variant>
      <vt:variant>
        <vt:i4>1441846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_Toc450306213</vt:lpwstr>
      </vt:variant>
      <vt:variant>
        <vt:i4>1441846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_Toc450306212</vt:lpwstr>
      </vt:variant>
      <vt:variant>
        <vt:i4>1441846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_Toc450306211</vt:lpwstr>
      </vt:variant>
      <vt:variant>
        <vt:i4>1441846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_Toc450306210</vt:lpwstr>
      </vt:variant>
      <vt:variant>
        <vt:i4>1507382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_Toc450306209</vt:lpwstr>
      </vt:variant>
      <vt:variant>
        <vt:i4>1507382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_Toc450306208</vt:lpwstr>
      </vt:variant>
      <vt:variant>
        <vt:i4>1507382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_Toc450306207</vt:lpwstr>
      </vt:variant>
      <vt:variant>
        <vt:i4>1507382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_Toc450306206</vt:lpwstr>
      </vt:variant>
      <vt:variant>
        <vt:i4>1507382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_Toc450306205</vt:lpwstr>
      </vt:variant>
      <vt:variant>
        <vt:i4>1507382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_Toc450306204</vt:lpwstr>
      </vt:variant>
      <vt:variant>
        <vt:i4>1507382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_Toc450306203</vt:lpwstr>
      </vt:variant>
      <vt:variant>
        <vt:i4>1507382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_Toc450306202</vt:lpwstr>
      </vt:variant>
      <vt:variant>
        <vt:i4>1507382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_Toc450306201</vt:lpwstr>
      </vt:variant>
      <vt:variant>
        <vt:i4>1507382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_Toc450306200</vt:lpwstr>
      </vt:variant>
      <vt:variant>
        <vt:i4>1966133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_Toc450306199</vt:lpwstr>
      </vt:variant>
      <vt:variant>
        <vt:i4>1966133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_Toc450306198</vt:lpwstr>
      </vt:variant>
      <vt:variant>
        <vt:i4>1966133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_Toc450306197</vt:lpwstr>
      </vt:variant>
      <vt:variant>
        <vt:i4>1966133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_Toc450306196</vt:lpwstr>
      </vt:variant>
      <vt:variant>
        <vt:i4>1966133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_Toc450306195</vt:lpwstr>
      </vt:variant>
      <vt:variant>
        <vt:i4>1966133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_Toc450306194</vt:lpwstr>
      </vt:variant>
      <vt:variant>
        <vt:i4>1966133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_Toc450306193</vt:lpwstr>
      </vt:variant>
      <vt:variant>
        <vt:i4>1966133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_Toc450306192</vt:lpwstr>
      </vt:variant>
      <vt:variant>
        <vt:i4>1966133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_Toc450306191</vt:lpwstr>
      </vt:variant>
      <vt:variant>
        <vt:i4>1966133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_Toc450306190</vt:lpwstr>
      </vt:variant>
      <vt:variant>
        <vt:i4>2031669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_Toc450306189</vt:lpwstr>
      </vt:variant>
      <vt:variant>
        <vt:i4>2031669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_Toc450306188</vt:lpwstr>
      </vt:variant>
      <vt:variant>
        <vt:i4>2031669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_Toc450306187</vt:lpwstr>
      </vt:variant>
      <vt:variant>
        <vt:i4>2031669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_Toc450306186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_Toc450306185</vt:lpwstr>
      </vt:variant>
      <vt:variant>
        <vt:i4>2031669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_Toc450306184</vt:lpwstr>
      </vt:variant>
      <vt:variant>
        <vt:i4>2031669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_Toc450306183</vt:lpwstr>
      </vt:variant>
      <vt:variant>
        <vt:i4>2031669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_Toc450306182</vt:lpwstr>
      </vt:variant>
      <vt:variant>
        <vt:i4>2031669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_Toc450306181</vt:lpwstr>
      </vt:variant>
      <vt:variant>
        <vt:i4>2031669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_Toc450306180</vt:lpwstr>
      </vt:variant>
      <vt:variant>
        <vt:i4>1048629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_Toc450306179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_Toc450306178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_Toc450306177</vt:lpwstr>
      </vt:variant>
      <vt:variant>
        <vt:i4>1048629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_Toc450306176</vt:lpwstr>
      </vt:variant>
      <vt:variant>
        <vt:i4>1048629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_Toc450306175</vt:lpwstr>
      </vt:variant>
      <vt:variant>
        <vt:i4>1048629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_Toc450306174</vt:lpwstr>
      </vt:variant>
      <vt:variant>
        <vt:i4>1048629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_Toc450306173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_Toc450306172</vt:lpwstr>
      </vt:variant>
      <vt:variant>
        <vt:i4>1048629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_Toc450306171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Stavební úpravy kotelny</dc:title>
  <dc:creator>nechuta</dc:creator>
  <cp:lastModifiedBy>Jiří Nechuta</cp:lastModifiedBy>
  <cp:revision>6</cp:revision>
  <cp:lastPrinted>2020-04-02T11:33:00Z</cp:lastPrinted>
  <dcterms:created xsi:type="dcterms:W3CDTF">2020-03-31T08:03:00Z</dcterms:created>
  <dcterms:modified xsi:type="dcterms:W3CDTF">2020-04-02T11:33:00Z</dcterms:modified>
</cp:coreProperties>
</file>