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B79D5F" w14:textId="77777777" w:rsidR="0062209C" w:rsidRPr="002F02EF" w:rsidRDefault="001C5C86" w:rsidP="001C5C86">
      <w:pPr>
        <w:pStyle w:val="Nadpis1"/>
        <w:rPr>
          <w:szCs w:val="28"/>
        </w:rPr>
      </w:pPr>
      <w:r w:rsidRPr="002F02EF">
        <w:t>Úvod</w:t>
      </w:r>
    </w:p>
    <w:p w14:paraId="1A1D0847" w14:textId="77777777" w:rsidR="0062209C" w:rsidRPr="002F02EF" w:rsidRDefault="001C5C86" w:rsidP="0062209C">
      <w:pPr>
        <w:pStyle w:val="Nadpis2"/>
      </w:pPr>
      <w:r w:rsidRPr="002F02EF">
        <w:t>Zadání objednavatele</w:t>
      </w:r>
    </w:p>
    <w:p w14:paraId="66D33933" w14:textId="77777777" w:rsidR="0062209C" w:rsidRPr="002F02EF" w:rsidRDefault="0062209C" w:rsidP="0062209C">
      <w:bookmarkStart w:id="0" w:name="_Hlk478546215"/>
      <w:r w:rsidRPr="002F02EF">
        <w:t xml:space="preserve">Vypracovat projekt </w:t>
      </w:r>
      <w:r w:rsidR="00FB1D23" w:rsidRPr="002F02EF">
        <w:t>výměny kotlů a zařízení kotelny v domově důchodců v Unhošti</w:t>
      </w:r>
      <w:r w:rsidR="00405A24" w:rsidRPr="002F02EF">
        <w:t>.</w:t>
      </w:r>
    </w:p>
    <w:bookmarkEnd w:id="0"/>
    <w:p w14:paraId="50463637" w14:textId="77777777" w:rsidR="008307B0" w:rsidRPr="002F02EF" w:rsidRDefault="00405A24" w:rsidP="00405A24">
      <w:r w:rsidRPr="002F02EF">
        <w:t>Dokumentace je vypracována v rozsahu dokumentace pro provádění stavby dle přílohy č. 13 k vyhlášce č. 499/2006 Sb, nebo jako dokumentace pro zadání stavby.</w:t>
      </w:r>
    </w:p>
    <w:p w14:paraId="309AA9E8" w14:textId="77777777" w:rsidR="0062209C" w:rsidRPr="002F02EF" w:rsidRDefault="001C5C86" w:rsidP="0062209C">
      <w:pPr>
        <w:pStyle w:val="Nadpis2"/>
      </w:pPr>
      <w:r w:rsidRPr="002F02EF">
        <w:t>Podklady</w:t>
      </w:r>
    </w:p>
    <w:p w14:paraId="3874FF86" w14:textId="77777777" w:rsidR="008307B0" w:rsidRPr="002F02EF" w:rsidRDefault="008307B0" w:rsidP="008307B0">
      <w:bookmarkStart w:id="1" w:name="_Hlk478546277"/>
      <w:r w:rsidRPr="002F02EF">
        <w:t>Seznam dostupných podkladů:</w:t>
      </w:r>
    </w:p>
    <w:p w14:paraId="7B7B9423" w14:textId="77777777" w:rsidR="0062209C" w:rsidRPr="002F02EF" w:rsidRDefault="008307B0" w:rsidP="008307B0">
      <w:pPr>
        <w:pStyle w:val="Odstavecseseznamem"/>
        <w:numPr>
          <w:ilvl w:val="0"/>
          <w:numId w:val="24"/>
        </w:numPr>
      </w:pPr>
      <w:r w:rsidRPr="002F02EF">
        <w:t>Platné normy a vyhlášky</w:t>
      </w:r>
    </w:p>
    <w:p w14:paraId="4EEF0876" w14:textId="19CFDDA4" w:rsidR="00405A24" w:rsidRPr="002F02EF" w:rsidRDefault="00405A24" w:rsidP="008307B0">
      <w:pPr>
        <w:pStyle w:val="Odstavecseseznamem"/>
        <w:numPr>
          <w:ilvl w:val="0"/>
          <w:numId w:val="24"/>
        </w:numPr>
      </w:pPr>
      <w:r w:rsidRPr="002F02EF">
        <w:t>Obhlídka místa</w:t>
      </w:r>
    </w:p>
    <w:p w14:paraId="4324798C" w14:textId="77777777" w:rsidR="00405A24" w:rsidRPr="002F02EF" w:rsidRDefault="00405A24" w:rsidP="008307B0">
      <w:pPr>
        <w:pStyle w:val="Odstavecseseznamem"/>
        <w:numPr>
          <w:ilvl w:val="0"/>
          <w:numId w:val="24"/>
        </w:numPr>
      </w:pPr>
      <w:r w:rsidRPr="002F02EF">
        <w:t>Spotřeba tepla za minulý rok</w:t>
      </w:r>
    </w:p>
    <w:bookmarkEnd w:id="1"/>
    <w:p w14:paraId="6957D22A" w14:textId="77777777" w:rsidR="0062209C" w:rsidRPr="002F02EF" w:rsidRDefault="001C5C86" w:rsidP="0062209C">
      <w:pPr>
        <w:pStyle w:val="Nadpis2"/>
      </w:pPr>
      <w:r w:rsidRPr="002F02EF">
        <w:t>Popis objektu</w:t>
      </w:r>
    </w:p>
    <w:p w14:paraId="69267B15" w14:textId="77777777" w:rsidR="00E76211" w:rsidRPr="002F02EF" w:rsidRDefault="00E76211" w:rsidP="00E76211">
      <w:r w:rsidRPr="002F02EF">
        <w:t>Jedná se o samostatně stojící objekt, kde dojde k</w:t>
      </w:r>
      <w:r w:rsidR="00405A24" w:rsidRPr="002F02EF">
        <w:t> </w:t>
      </w:r>
      <w:r w:rsidR="00FB1D23" w:rsidRPr="002F02EF">
        <w:t>rekonstrukci</w:t>
      </w:r>
      <w:r w:rsidR="00405A24" w:rsidRPr="002F02EF">
        <w:t xml:space="preserve"> zdroje tepla</w:t>
      </w:r>
      <w:r w:rsidRPr="002F02EF">
        <w:t xml:space="preserve">. </w:t>
      </w:r>
    </w:p>
    <w:p w14:paraId="044CCF11" w14:textId="77777777" w:rsidR="00E76211" w:rsidRPr="002F02EF" w:rsidRDefault="00E76211" w:rsidP="00E76211">
      <w:r w:rsidRPr="002F02EF">
        <w:t>Charakteristika objektu:</w:t>
      </w:r>
    </w:p>
    <w:p w14:paraId="11B06B03" w14:textId="77777777" w:rsidR="00E76211" w:rsidRPr="002F02EF" w:rsidRDefault="00FB1D23" w:rsidP="00E76211">
      <w:pPr>
        <w:pStyle w:val="Odstavecseseznamem"/>
        <w:numPr>
          <w:ilvl w:val="0"/>
          <w:numId w:val="25"/>
        </w:numPr>
      </w:pPr>
      <w:r w:rsidRPr="002F02EF">
        <w:t>2</w:t>
      </w:r>
      <w:r w:rsidR="00E76211" w:rsidRPr="002F02EF">
        <w:t xml:space="preserve"> nadzemní podlaží</w:t>
      </w:r>
    </w:p>
    <w:p w14:paraId="38060F88" w14:textId="77777777" w:rsidR="00E76211" w:rsidRPr="002F02EF" w:rsidRDefault="00405A24" w:rsidP="00405A24">
      <w:pPr>
        <w:pStyle w:val="Odstavecseseznamem"/>
        <w:numPr>
          <w:ilvl w:val="0"/>
          <w:numId w:val="25"/>
        </w:numPr>
      </w:pPr>
      <w:r w:rsidRPr="002F02EF">
        <w:t xml:space="preserve">1 podzemní </w:t>
      </w:r>
      <w:r w:rsidR="00E76211" w:rsidRPr="002F02EF">
        <w:t>podlaží</w:t>
      </w:r>
    </w:p>
    <w:p w14:paraId="5B8EAC25" w14:textId="77777777" w:rsidR="001324FE" w:rsidRPr="002F02EF" w:rsidRDefault="00FB1D23" w:rsidP="001324FE">
      <w:pPr>
        <w:pStyle w:val="Nadpis1"/>
        <w:numPr>
          <w:ilvl w:val="0"/>
          <w:numId w:val="7"/>
        </w:numPr>
        <w:ind w:left="431" w:hanging="431"/>
      </w:pPr>
      <w:r w:rsidRPr="002F02EF">
        <w:t>Výkon kotelny</w:t>
      </w:r>
    </w:p>
    <w:p w14:paraId="0B6EFC2F" w14:textId="77777777" w:rsidR="001324FE" w:rsidRPr="002F02EF" w:rsidRDefault="001324FE" w:rsidP="001324FE">
      <w:r w:rsidRPr="002F02EF">
        <w:t>Výkon nového zdroje tepla byl spočten na základě předané spotřeby energie na vytápění za předchozí rok.</w:t>
      </w:r>
      <w:r w:rsidR="00FB1D23" w:rsidRPr="002F02EF">
        <w:t xml:space="preserve"> Stávající plynové ohříváky TV budou demontovány a ohřev TV bude nově probíhat v nepřímo ohřívaných zásobnících. </w:t>
      </w:r>
    </w:p>
    <w:p w14:paraId="3BCD4A67" w14:textId="77777777" w:rsidR="00162C48" w:rsidRDefault="00162C48" w:rsidP="00162C48">
      <w:pPr>
        <w:pStyle w:val="Nadpis1"/>
      </w:pPr>
      <w:r w:rsidRPr="00084C74">
        <w:t>Popis technického řešení</w:t>
      </w:r>
    </w:p>
    <w:p w14:paraId="4DAC1527" w14:textId="77777777" w:rsidR="00113221" w:rsidRDefault="00113221" w:rsidP="00113221">
      <w:pPr>
        <w:pStyle w:val="Nadpis2"/>
      </w:pPr>
      <w:r>
        <w:t>Stavební úpravy</w:t>
      </w:r>
    </w:p>
    <w:p w14:paraId="5DB45ACC" w14:textId="77777777" w:rsidR="00113221" w:rsidRDefault="00113221" w:rsidP="00113221">
      <w:r>
        <w:t>V rámci stavby nebudou řešeny žádné zásadní stavební úpravy. Současná kotelna je vybavena požárními dveřmi, kotle budou stát na stávajících základech, kanalizace zůstane zachována a boilery budou stát na betonové podlaze. Prostupy budou v podstatě ve stejných místech jako dnes (jedná se převážně o komín).</w:t>
      </w:r>
    </w:p>
    <w:p w14:paraId="6B0C37F2" w14:textId="77777777" w:rsidR="00303943" w:rsidRDefault="00303943" w:rsidP="00303943">
      <w:pPr>
        <w:pStyle w:val="Nadpis2"/>
      </w:pPr>
      <w:r>
        <w:t>Popis stávajícího stavu</w:t>
      </w:r>
    </w:p>
    <w:p w14:paraId="4ECB3813" w14:textId="77777777" w:rsidR="00303943" w:rsidRPr="00303943" w:rsidRDefault="00303943" w:rsidP="00303943">
      <w:pPr>
        <w:widowControl/>
        <w:shd w:val="clear" w:color="auto" w:fill="FFFFFF"/>
        <w:suppressAutoHyphens w:val="0"/>
        <w:autoSpaceDE/>
        <w:spacing w:after="80" w:line="240" w:lineRule="auto"/>
        <w:ind w:left="-142" w:firstLine="0"/>
        <w:jc w:val="left"/>
        <w:rPr>
          <w:rFonts w:ascii="Times New Roman" w:hAnsi="Times New Roman" w:cs="Times New Roman"/>
          <w:color w:val="222222"/>
          <w:szCs w:val="24"/>
          <w:lang w:eastAsia="cs-CZ"/>
        </w:rPr>
      </w:pPr>
    </w:p>
    <w:p w14:paraId="6532FFCD" w14:textId="77777777" w:rsidR="00303943" w:rsidRPr="00303943" w:rsidRDefault="00303943" w:rsidP="00303943">
      <w:pPr>
        <w:widowControl/>
        <w:shd w:val="clear" w:color="auto" w:fill="FFFFFF"/>
        <w:suppressAutoHyphens w:val="0"/>
        <w:autoSpaceDE/>
        <w:spacing w:after="0" w:line="240" w:lineRule="auto"/>
        <w:ind w:left="720" w:firstLine="0"/>
        <w:jc w:val="left"/>
      </w:pPr>
      <w:r w:rsidRPr="00303943">
        <w:t>-        2x kotel Hydrotherm HEM 150 do společného kouřovodu</w:t>
      </w:r>
    </w:p>
    <w:p w14:paraId="708C3F93" w14:textId="77777777" w:rsidR="00303943" w:rsidRPr="00303943" w:rsidRDefault="00303943" w:rsidP="00303943">
      <w:pPr>
        <w:widowControl/>
        <w:shd w:val="clear" w:color="auto" w:fill="FFFFFF"/>
        <w:suppressAutoHyphens w:val="0"/>
        <w:autoSpaceDE/>
        <w:spacing w:after="0" w:line="240" w:lineRule="auto"/>
        <w:ind w:left="720" w:firstLine="0"/>
        <w:jc w:val="left"/>
      </w:pPr>
      <w:r w:rsidRPr="00303943">
        <w:t>-        1x Ohřívač TUV Quantum 39 kW, původně byly ohřívače Quantum 2x, ale</w:t>
      </w:r>
      <w:r>
        <w:t xml:space="preserve"> jeden </w:t>
      </w:r>
      <w:r w:rsidRPr="00303943">
        <w:t xml:space="preserve">byl vyměněn za zásobníkový ohřívač RBC 750 napojený na </w:t>
      </w:r>
      <w:r>
        <w:t>rozdělovač topné vody</w:t>
      </w:r>
    </w:p>
    <w:p w14:paraId="4F6FDE04" w14:textId="77777777" w:rsidR="00303943" w:rsidRPr="00303943" w:rsidRDefault="00303943" w:rsidP="00303943">
      <w:pPr>
        <w:widowControl/>
        <w:shd w:val="clear" w:color="auto" w:fill="FFFFFF"/>
        <w:suppressAutoHyphens w:val="0"/>
        <w:autoSpaceDE/>
        <w:spacing w:after="0" w:line="240" w:lineRule="auto"/>
        <w:ind w:left="720" w:firstLine="0"/>
        <w:jc w:val="left"/>
      </w:pPr>
      <w:r w:rsidRPr="00303943">
        <w:t xml:space="preserve">-        Komín je od kotelny vzdálen cca 10 m, kouřovod je vedený sousední místností a je opatřený hranatým zadeklováním z Al plechu. Vybírací otvory jsou rovněž </w:t>
      </w:r>
      <w:r w:rsidRPr="00303943">
        <w:lastRenderedPageBreak/>
        <w:t>v sousední místnosti pod ocelovou konstrukcí v úrovni cca mínus 1</w:t>
      </w:r>
      <w:r>
        <w:t>,</w:t>
      </w:r>
      <w:r w:rsidRPr="00303943">
        <w:t>8</w:t>
      </w:r>
      <w:r>
        <w:t>m</w:t>
      </w:r>
      <w:r w:rsidRPr="00303943">
        <w:t xml:space="preserve"> pod úrovní podlahy kotelny.</w:t>
      </w:r>
    </w:p>
    <w:p w14:paraId="11A523C9" w14:textId="77777777" w:rsidR="00303943" w:rsidRPr="00303943" w:rsidRDefault="00303943" w:rsidP="00303943">
      <w:pPr>
        <w:widowControl/>
        <w:shd w:val="clear" w:color="auto" w:fill="FFFFFF"/>
        <w:suppressAutoHyphens w:val="0"/>
        <w:autoSpaceDE/>
        <w:spacing w:after="0" w:line="240" w:lineRule="auto"/>
        <w:ind w:left="720" w:firstLine="0"/>
        <w:jc w:val="left"/>
      </w:pPr>
      <w:r w:rsidRPr="00303943">
        <w:t>-        Vedle kouřovodů a komína je pravděpodobně větrací otvor s následným přirozeným odtahem vzduchu vedený paralelně vedle kouřovodu a pak vlastním komínovým průduchem nad střechu objektu</w:t>
      </w:r>
    </w:p>
    <w:p w14:paraId="075A91D1" w14:textId="77777777" w:rsidR="00287881" w:rsidRPr="00084C74" w:rsidRDefault="00287881" w:rsidP="00287881">
      <w:pPr>
        <w:pStyle w:val="Nadpis2"/>
      </w:pPr>
      <w:r w:rsidRPr="00084C74">
        <w:t>Zdroj tepla</w:t>
      </w:r>
    </w:p>
    <w:p w14:paraId="3898B074" w14:textId="77777777" w:rsidR="00942BF7" w:rsidRPr="00084C74" w:rsidRDefault="00942BF7" w:rsidP="00942BF7">
      <w:r w:rsidRPr="00084C74">
        <w:t>Podle počtu kotlů a jejich výkonu je navrhované zařízení kotelna ve smyslu ČSN 07 0703 Kotelny se zařízením na plynná paliva.</w:t>
      </w:r>
    </w:p>
    <w:p w14:paraId="54B62E74" w14:textId="77777777" w:rsidR="00942BF7" w:rsidRPr="00084C74" w:rsidRDefault="00942BF7" w:rsidP="00942BF7">
      <w:r w:rsidRPr="00084C74">
        <w:t xml:space="preserve">Kotelna III. </w:t>
      </w:r>
      <w:proofErr w:type="gramStart"/>
      <w:r w:rsidRPr="00084C74">
        <w:t>kategorie - kotelny</w:t>
      </w:r>
      <w:proofErr w:type="gramEnd"/>
      <w:r w:rsidRPr="00084C74">
        <w:t xml:space="preserve"> se jmenovitým tepelným výkonem jednoho kotle od 50 kW do součtu jmenovitých tepelných výkonů kotlů 0,5 MW včetně a kotelny se součtem jmenovitých tepelných výkonů kotlů větším než 100 kW, i když ani jeden z nich nedosahuje jmenovitého tepelného výkonu 50 kW, do součtu jmenovitých tepelných výkonů kotlů 0,5 MW včetně.</w:t>
      </w:r>
    </w:p>
    <w:p w14:paraId="6C20E996" w14:textId="77777777" w:rsidR="00942BF7" w:rsidRPr="00084C74" w:rsidRDefault="001324FE" w:rsidP="00162C48">
      <w:r w:rsidRPr="00084C74">
        <w:t>Jako zdroj tepla byl</w:t>
      </w:r>
      <w:r w:rsidR="00942BF7" w:rsidRPr="00084C74">
        <w:t>a</w:t>
      </w:r>
      <w:r w:rsidRPr="00084C74">
        <w:t xml:space="preserve"> zvolen</w:t>
      </w:r>
      <w:r w:rsidR="00942BF7" w:rsidRPr="00084C74">
        <w:t>a dvojice kotlů Hoval UltraGas 400D, 5 bar, dodávaná jako dvojče. Jedná se o nerezové kondenzační kotle s atmosférickým hořákem a společným odkouřením.</w:t>
      </w:r>
    </w:p>
    <w:p w14:paraId="45AE0A57" w14:textId="77777777" w:rsidR="00942BF7" w:rsidRDefault="00942BF7" w:rsidP="00162C48">
      <w:pPr>
        <w:rPr>
          <w:highlight w:val="yellow"/>
        </w:rPr>
      </w:pPr>
    </w:p>
    <w:tbl>
      <w:tblPr>
        <w:tblW w:w="7872" w:type="dxa"/>
        <w:tblInd w:w="70" w:type="dxa"/>
        <w:tblCellMar>
          <w:left w:w="70" w:type="dxa"/>
          <w:right w:w="70" w:type="dxa"/>
        </w:tblCellMar>
        <w:tblLook w:val="04A0" w:firstRow="1" w:lastRow="0" w:firstColumn="1" w:lastColumn="0" w:noHBand="0" w:noVBand="1"/>
      </w:tblPr>
      <w:tblGrid>
        <w:gridCol w:w="963"/>
        <w:gridCol w:w="963"/>
        <w:gridCol w:w="963"/>
        <w:gridCol w:w="963"/>
        <w:gridCol w:w="1041"/>
        <w:gridCol w:w="905"/>
        <w:gridCol w:w="1114"/>
        <w:gridCol w:w="960"/>
      </w:tblGrid>
      <w:tr w:rsidR="00084C74" w:rsidRPr="00084C74" w14:paraId="3C07C450" w14:textId="77777777" w:rsidTr="00084C74">
        <w:trPr>
          <w:trHeight w:val="315"/>
        </w:trPr>
        <w:tc>
          <w:tcPr>
            <w:tcW w:w="1926" w:type="dxa"/>
            <w:gridSpan w:val="2"/>
            <w:tcBorders>
              <w:top w:val="nil"/>
              <w:left w:val="nil"/>
              <w:bottom w:val="nil"/>
              <w:right w:val="nil"/>
            </w:tcBorders>
            <w:shd w:val="clear" w:color="auto" w:fill="auto"/>
            <w:noWrap/>
            <w:vAlign w:val="bottom"/>
            <w:hideMark/>
          </w:tcPr>
          <w:p w14:paraId="40CF8658" w14:textId="77777777" w:rsidR="00084C74" w:rsidRPr="00084C74" w:rsidRDefault="00084C74" w:rsidP="00084C74">
            <w:pPr>
              <w:widowControl/>
              <w:suppressAutoHyphens w:val="0"/>
              <w:autoSpaceDE/>
              <w:spacing w:after="0" w:line="240" w:lineRule="auto"/>
              <w:ind w:firstLine="0"/>
              <w:jc w:val="left"/>
              <w:rPr>
                <w:rFonts w:ascii="Calibri" w:hAnsi="Calibri" w:cs="Calibri"/>
                <w:b/>
                <w:bCs/>
                <w:color w:val="000000"/>
                <w:szCs w:val="24"/>
                <w:lang w:eastAsia="cs-CZ"/>
              </w:rPr>
            </w:pPr>
            <w:r w:rsidRPr="00084C74">
              <w:rPr>
                <w:rFonts w:ascii="Calibri" w:hAnsi="Calibri" w:cs="Calibri"/>
                <w:b/>
                <w:bCs/>
                <w:color w:val="000000"/>
                <w:szCs w:val="24"/>
                <w:lang w:eastAsia="cs-CZ"/>
              </w:rPr>
              <w:t>Typ kotle:</w:t>
            </w:r>
          </w:p>
        </w:tc>
        <w:tc>
          <w:tcPr>
            <w:tcW w:w="963" w:type="dxa"/>
            <w:tcBorders>
              <w:top w:val="nil"/>
              <w:left w:val="nil"/>
              <w:bottom w:val="nil"/>
              <w:right w:val="nil"/>
            </w:tcBorders>
            <w:shd w:val="clear" w:color="auto" w:fill="auto"/>
            <w:noWrap/>
            <w:vAlign w:val="bottom"/>
            <w:hideMark/>
          </w:tcPr>
          <w:p w14:paraId="7461B688" w14:textId="77777777" w:rsidR="00084C74" w:rsidRPr="00084C74" w:rsidRDefault="00084C74" w:rsidP="00084C74">
            <w:pPr>
              <w:widowControl/>
              <w:suppressAutoHyphens w:val="0"/>
              <w:autoSpaceDE/>
              <w:spacing w:after="0" w:line="240" w:lineRule="auto"/>
              <w:ind w:firstLine="0"/>
              <w:jc w:val="left"/>
              <w:rPr>
                <w:rFonts w:ascii="Calibri" w:hAnsi="Calibri" w:cs="Calibri"/>
                <w:b/>
                <w:bCs/>
                <w:color w:val="000000"/>
                <w:szCs w:val="24"/>
                <w:lang w:eastAsia="cs-CZ"/>
              </w:rPr>
            </w:pPr>
          </w:p>
        </w:tc>
        <w:tc>
          <w:tcPr>
            <w:tcW w:w="963" w:type="dxa"/>
            <w:tcBorders>
              <w:top w:val="nil"/>
              <w:left w:val="nil"/>
              <w:bottom w:val="nil"/>
              <w:right w:val="nil"/>
            </w:tcBorders>
            <w:shd w:val="clear" w:color="auto" w:fill="auto"/>
            <w:noWrap/>
            <w:vAlign w:val="bottom"/>
            <w:hideMark/>
          </w:tcPr>
          <w:p w14:paraId="63A47411"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3060" w:type="dxa"/>
            <w:gridSpan w:val="3"/>
            <w:tcBorders>
              <w:top w:val="nil"/>
              <w:left w:val="nil"/>
              <w:bottom w:val="nil"/>
              <w:right w:val="nil"/>
            </w:tcBorders>
            <w:shd w:val="clear" w:color="auto" w:fill="auto"/>
            <w:noWrap/>
            <w:vAlign w:val="bottom"/>
            <w:hideMark/>
          </w:tcPr>
          <w:p w14:paraId="3705A956" w14:textId="77777777" w:rsidR="00084C74" w:rsidRPr="00084C74" w:rsidRDefault="00084C74" w:rsidP="00084C74">
            <w:pPr>
              <w:widowControl/>
              <w:suppressAutoHyphens w:val="0"/>
              <w:autoSpaceDE/>
              <w:spacing w:after="0" w:line="240" w:lineRule="auto"/>
              <w:ind w:firstLine="0"/>
              <w:jc w:val="left"/>
              <w:rPr>
                <w:rFonts w:ascii="Calibri" w:hAnsi="Calibri" w:cs="Calibri"/>
                <w:b/>
                <w:bCs/>
                <w:color w:val="000000"/>
                <w:szCs w:val="24"/>
                <w:lang w:eastAsia="cs-CZ"/>
              </w:rPr>
            </w:pPr>
            <w:r w:rsidRPr="00084C74">
              <w:rPr>
                <w:rFonts w:ascii="Calibri" w:hAnsi="Calibri" w:cs="Calibri"/>
                <w:b/>
                <w:bCs/>
                <w:color w:val="000000"/>
                <w:szCs w:val="24"/>
                <w:lang w:eastAsia="cs-CZ"/>
              </w:rPr>
              <w:t>Hoval UltraGas 400D</w:t>
            </w:r>
          </w:p>
        </w:tc>
        <w:tc>
          <w:tcPr>
            <w:tcW w:w="960" w:type="dxa"/>
            <w:tcBorders>
              <w:top w:val="nil"/>
              <w:left w:val="nil"/>
              <w:bottom w:val="nil"/>
              <w:right w:val="nil"/>
            </w:tcBorders>
            <w:shd w:val="clear" w:color="auto" w:fill="auto"/>
            <w:noWrap/>
            <w:vAlign w:val="bottom"/>
            <w:hideMark/>
          </w:tcPr>
          <w:p w14:paraId="6F3E1710" w14:textId="77777777" w:rsidR="00084C74" w:rsidRPr="00084C74" w:rsidRDefault="00084C74" w:rsidP="00084C74">
            <w:pPr>
              <w:widowControl/>
              <w:suppressAutoHyphens w:val="0"/>
              <w:autoSpaceDE/>
              <w:spacing w:after="0" w:line="240" w:lineRule="auto"/>
              <w:ind w:firstLine="0"/>
              <w:jc w:val="left"/>
              <w:rPr>
                <w:rFonts w:ascii="Calibri" w:hAnsi="Calibri" w:cs="Calibri"/>
                <w:b/>
                <w:bCs/>
                <w:color w:val="000000"/>
                <w:szCs w:val="24"/>
                <w:lang w:eastAsia="cs-CZ"/>
              </w:rPr>
            </w:pPr>
          </w:p>
        </w:tc>
      </w:tr>
      <w:tr w:rsidR="00084C74" w:rsidRPr="00084C74" w14:paraId="4B31B3F8" w14:textId="77777777" w:rsidTr="00084C74">
        <w:trPr>
          <w:trHeight w:val="315"/>
        </w:trPr>
        <w:tc>
          <w:tcPr>
            <w:tcW w:w="1926" w:type="dxa"/>
            <w:gridSpan w:val="2"/>
            <w:tcBorders>
              <w:top w:val="nil"/>
              <w:left w:val="nil"/>
              <w:bottom w:val="nil"/>
              <w:right w:val="nil"/>
            </w:tcBorders>
            <w:shd w:val="clear" w:color="auto" w:fill="auto"/>
            <w:noWrap/>
            <w:vAlign w:val="bottom"/>
            <w:hideMark/>
          </w:tcPr>
          <w:p w14:paraId="11030283"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Tepelný výkon:</w:t>
            </w:r>
          </w:p>
        </w:tc>
        <w:tc>
          <w:tcPr>
            <w:tcW w:w="963" w:type="dxa"/>
            <w:tcBorders>
              <w:top w:val="nil"/>
              <w:left w:val="nil"/>
              <w:bottom w:val="nil"/>
              <w:right w:val="nil"/>
            </w:tcBorders>
            <w:shd w:val="clear" w:color="auto" w:fill="auto"/>
            <w:noWrap/>
            <w:vAlign w:val="bottom"/>
            <w:hideMark/>
          </w:tcPr>
          <w:p w14:paraId="3B842013"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c>
          <w:tcPr>
            <w:tcW w:w="963" w:type="dxa"/>
            <w:tcBorders>
              <w:top w:val="nil"/>
              <w:left w:val="nil"/>
              <w:bottom w:val="nil"/>
              <w:right w:val="nil"/>
            </w:tcBorders>
            <w:shd w:val="clear" w:color="auto" w:fill="auto"/>
            <w:noWrap/>
            <w:vAlign w:val="bottom"/>
            <w:hideMark/>
          </w:tcPr>
          <w:p w14:paraId="56CF537D"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1041" w:type="dxa"/>
            <w:tcBorders>
              <w:top w:val="nil"/>
              <w:left w:val="nil"/>
              <w:bottom w:val="nil"/>
              <w:right w:val="nil"/>
            </w:tcBorders>
            <w:shd w:val="clear" w:color="auto" w:fill="auto"/>
            <w:noWrap/>
            <w:vAlign w:val="bottom"/>
            <w:hideMark/>
          </w:tcPr>
          <w:p w14:paraId="6AC2D366"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80/</w:t>
            </w:r>
            <w:proofErr w:type="gramStart"/>
            <w:r w:rsidRPr="00084C74">
              <w:rPr>
                <w:rFonts w:ascii="Calibri" w:hAnsi="Calibri" w:cs="Calibri"/>
                <w:color w:val="000000"/>
                <w:szCs w:val="24"/>
                <w:lang w:eastAsia="cs-CZ"/>
              </w:rPr>
              <w:t>60°C</w:t>
            </w:r>
            <w:proofErr w:type="gramEnd"/>
          </w:p>
        </w:tc>
        <w:tc>
          <w:tcPr>
            <w:tcW w:w="905" w:type="dxa"/>
            <w:tcBorders>
              <w:top w:val="nil"/>
              <w:left w:val="nil"/>
              <w:bottom w:val="nil"/>
              <w:right w:val="nil"/>
            </w:tcBorders>
            <w:shd w:val="clear" w:color="auto" w:fill="auto"/>
            <w:noWrap/>
            <w:vAlign w:val="bottom"/>
            <w:hideMark/>
          </w:tcPr>
          <w:p w14:paraId="4F34ECF6" w14:textId="77777777" w:rsidR="00084C74" w:rsidRPr="00084C74" w:rsidRDefault="00084C74" w:rsidP="00084C74">
            <w:pPr>
              <w:widowControl/>
              <w:suppressAutoHyphens w:val="0"/>
              <w:autoSpaceDE/>
              <w:spacing w:after="0" w:line="240" w:lineRule="auto"/>
              <w:ind w:firstLine="0"/>
              <w:jc w:val="right"/>
              <w:rPr>
                <w:rFonts w:ascii="Calibri" w:hAnsi="Calibri" w:cs="Calibri"/>
                <w:color w:val="000000"/>
                <w:szCs w:val="24"/>
                <w:lang w:eastAsia="cs-CZ"/>
              </w:rPr>
            </w:pPr>
            <w:r w:rsidRPr="00084C74">
              <w:rPr>
                <w:rFonts w:ascii="Calibri" w:hAnsi="Calibri" w:cs="Calibri"/>
                <w:color w:val="000000"/>
                <w:szCs w:val="24"/>
                <w:lang w:eastAsia="cs-CZ"/>
              </w:rPr>
              <w:t>39-370</w:t>
            </w:r>
          </w:p>
        </w:tc>
        <w:tc>
          <w:tcPr>
            <w:tcW w:w="1114" w:type="dxa"/>
            <w:tcBorders>
              <w:top w:val="nil"/>
              <w:left w:val="nil"/>
              <w:bottom w:val="nil"/>
              <w:right w:val="nil"/>
            </w:tcBorders>
            <w:shd w:val="clear" w:color="auto" w:fill="auto"/>
            <w:noWrap/>
            <w:vAlign w:val="bottom"/>
            <w:hideMark/>
          </w:tcPr>
          <w:p w14:paraId="3C736B57"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kW</w:t>
            </w:r>
          </w:p>
        </w:tc>
        <w:tc>
          <w:tcPr>
            <w:tcW w:w="960" w:type="dxa"/>
            <w:tcBorders>
              <w:top w:val="nil"/>
              <w:left w:val="nil"/>
              <w:bottom w:val="nil"/>
              <w:right w:val="nil"/>
            </w:tcBorders>
            <w:shd w:val="clear" w:color="auto" w:fill="auto"/>
            <w:noWrap/>
            <w:vAlign w:val="bottom"/>
            <w:hideMark/>
          </w:tcPr>
          <w:p w14:paraId="32E9B782"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r>
      <w:tr w:rsidR="00084C74" w:rsidRPr="00084C74" w14:paraId="6307C2D2" w14:textId="77777777" w:rsidTr="00084C74">
        <w:trPr>
          <w:trHeight w:val="315"/>
        </w:trPr>
        <w:tc>
          <w:tcPr>
            <w:tcW w:w="1926" w:type="dxa"/>
            <w:gridSpan w:val="2"/>
            <w:tcBorders>
              <w:top w:val="nil"/>
              <w:left w:val="nil"/>
              <w:bottom w:val="nil"/>
              <w:right w:val="nil"/>
            </w:tcBorders>
            <w:shd w:val="clear" w:color="auto" w:fill="auto"/>
            <w:noWrap/>
            <w:vAlign w:val="bottom"/>
            <w:hideMark/>
          </w:tcPr>
          <w:p w14:paraId="4CD1FE58"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Tepelný výkon:</w:t>
            </w:r>
          </w:p>
        </w:tc>
        <w:tc>
          <w:tcPr>
            <w:tcW w:w="963" w:type="dxa"/>
            <w:tcBorders>
              <w:top w:val="nil"/>
              <w:left w:val="nil"/>
              <w:bottom w:val="nil"/>
              <w:right w:val="nil"/>
            </w:tcBorders>
            <w:shd w:val="clear" w:color="auto" w:fill="auto"/>
            <w:noWrap/>
            <w:vAlign w:val="bottom"/>
            <w:hideMark/>
          </w:tcPr>
          <w:p w14:paraId="2F175A39"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c>
          <w:tcPr>
            <w:tcW w:w="963" w:type="dxa"/>
            <w:tcBorders>
              <w:top w:val="nil"/>
              <w:left w:val="nil"/>
              <w:bottom w:val="nil"/>
              <w:right w:val="nil"/>
            </w:tcBorders>
            <w:shd w:val="clear" w:color="auto" w:fill="auto"/>
            <w:noWrap/>
            <w:vAlign w:val="bottom"/>
            <w:hideMark/>
          </w:tcPr>
          <w:p w14:paraId="2DED17E5"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1041" w:type="dxa"/>
            <w:tcBorders>
              <w:top w:val="nil"/>
              <w:left w:val="nil"/>
              <w:bottom w:val="nil"/>
              <w:right w:val="nil"/>
            </w:tcBorders>
            <w:shd w:val="clear" w:color="auto" w:fill="auto"/>
            <w:noWrap/>
            <w:vAlign w:val="bottom"/>
            <w:hideMark/>
          </w:tcPr>
          <w:p w14:paraId="7BBA8833"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40/</w:t>
            </w:r>
            <w:proofErr w:type="gramStart"/>
            <w:r w:rsidRPr="00084C74">
              <w:rPr>
                <w:rFonts w:ascii="Calibri" w:hAnsi="Calibri" w:cs="Calibri"/>
                <w:color w:val="000000"/>
                <w:szCs w:val="24"/>
                <w:lang w:eastAsia="cs-CZ"/>
              </w:rPr>
              <w:t>30°C</w:t>
            </w:r>
            <w:proofErr w:type="gramEnd"/>
          </w:p>
        </w:tc>
        <w:tc>
          <w:tcPr>
            <w:tcW w:w="905" w:type="dxa"/>
            <w:tcBorders>
              <w:top w:val="nil"/>
              <w:left w:val="nil"/>
              <w:bottom w:val="nil"/>
              <w:right w:val="nil"/>
            </w:tcBorders>
            <w:shd w:val="clear" w:color="auto" w:fill="auto"/>
            <w:noWrap/>
            <w:vAlign w:val="bottom"/>
            <w:hideMark/>
          </w:tcPr>
          <w:p w14:paraId="3E080ED4" w14:textId="77777777" w:rsidR="00084C74" w:rsidRPr="00084C74" w:rsidRDefault="00084C74" w:rsidP="00084C74">
            <w:pPr>
              <w:widowControl/>
              <w:suppressAutoHyphens w:val="0"/>
              <w:autoSpaceDE/>
              <w:spacing w:after="0" w:line="240" w:lineRule="auto"/>
              <w:ind w:firstLine="0"/>
              <w:jc w:val="right"/>
              <w:rPr>
                <w:rFonts w:ascii="Calibri" w:hAnsi="Calibri" w:cs="Calibri"/>
                <w:color w:val="000000"/>
                <w:szCs w:val="24"/>
                <w:lang w:eastAsia="cs-CZ"/>
              </w:rPr>
            </w:pPr>
            <w:r w:rsidRPr="00084C74">
              <w:rPr>
                <w:rFonts w:ascii="Calibri" w:hAnsi="Calibri" w:cs="Calibri"/>
                <w:color w:val="000000"/>
                <w:szCs w:val="24"/>
                <w:lang w:eastAsia="cs-CZ"/>
              </w:rPr>
              <w:t>49-500</w:t>
            </w:r>
          </w:p>
        </w:tc>
        <w:tc>
          <w:tcPr>
            <w:tcW w:w="1114" w:type="dxa"/>
            <w:tcBorders>
              <w:top w:val="nil"/>
              <w:left w:val="nil"/>
              <w:bottom w:val="nil"/>
              <w:right w:val="nil"/>
            </w:tcBorders>
            <w:shd w:val="clear" w:color="auto" w:fill="auto"/>
            <w:noWrap/>
            <w:vAlign w:val="bottom"/>
            <w:hideMark/>
          </w:tcPr>
          <w:p w14:paraId="562DB00F"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kW</w:t>
            </w:r>
          </w:p>
        </w:tc>
        <w:tc>
          <w:tcPr>
            <w:tcW w:w="960" w:type="dxa"/>
            <w:tcBorders>
              <w:top w:val="nil"/>
              <w:left w:val="nil"/>
              <w:bottom w:val="nil"/>
              <w:right w:val="nil"/>
            </w:tcBorders>
            <w:shd w:val="clear" w:color="auto" w:fill="auto"/>
            <w:noWrap/>
            <w:vAlign w:val="bottom"/>
            <w:hideMark/>
          </w:tcPr>
          <w:p w14:paraId="31C80F82"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r>
      <w:tr w:rsidR="00084C74" w:rsidRPr="00084C74" w14:paraId="481BF370" w14:textId="77777777" w:rsidTr="00084C74">
        <w:trPr>
          <w:trHeight w:val="315"/>
        </w:trPr>
        <w:tc>
          <w:tcPr>
            <w:tcW w:w="963" w:type="dxa"/>
            <w:tcBorders>
              <w:top w:val="nil"/>
              <w:left w:val="nil"/>
              <w:bottom w:val="nil"/>
              <w:right w:val="nil"/>
            </w:tcBorders>
            <w:shd w:val="clear" w:color="auto" w:fill="auto"/>
            <w:noWrap/>
            <w:vAlign w:val="bottom"/>
            <w:hideMark/>
          </w:tcPr>
          <w:p w14:paraId="3BC9CEE7"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63" w:type="dxa"/>
            <w:tcBorders>
              <w:top w:val="nil"/>
              <w:left w:val="nil"/>
              <w:bottom w:val="nil"/>
              <w:right w:val="nil"/>
            </w:tcBorders>
            <w:shd w:val="clear" w:color="auto" w:fill="auto"/>
            <w:noWrap/>
            <w:vAlign w:val="bottom"/>
            <w:hideMark/>
          </w:tcPr>
          <w:p w14:paraId="48133AE0"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63" w:type="dxa"/>
            <w:tcBorders>
              <w:top w:val="nil"/>
              <w:left w:val="nil"/>
              <w:bottom w:val="nil"/>
              <w:right w:val="nil"/>
            </w:tcBorders>
            <w:shd w:val="clear" w:color="auto" w:fill="auto"/>
            <w:noWrap/>
            <w:vAlign w:val="bottom"/>
            <w:hideMark/>
          </w:tcPr>
          <w:p w14:paraId="24C67DBE"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63" w:type="dxa"/>
            <w:tcBorders>
              <w:top w:val="nil"/>
              <w:left w:val="nil"/>
              <w:bottom w:val="nil"/>
              <w:right w:val="nil"/>
            </w:tcBorders>
            <w:shd w:val="clear" w:color="auto" w:fill="auto"/>
            <w:noWrap/>
            <w:vAlign w:val="bottom"/>
            <w:hideMark/>
          </w:tcPr>
          <w:p w14:paraId="6DD297BF"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1041" w:type="dxa"/>
            <w:tcBorders>
              <w:top w:val="nil"/>
              <w:left w:val="nil"/>
              <w:bottom w:val="nil"/>
              <w:right w:val="nil"/>
            </w:tcBorders>
            <w:shd w:val="clear" w:color="auto" w:fill="auto"/>
            <w:noWrap/>
            <w:vAlign w:val="bottom"/>
            <w:hideMark/>
          </w:tcPr>
          <w:p w14:paraId="43145D4B"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05" w:type="dxa"/>
            <w:tcBorders>
              <w:top w:val="nil"/>
              <w:left w:val="nil"/>
              <w:bottom w:val="nil"/>
              <w:right w:val="nil"/>
            </w:tcBorders>
            <w:shd w:val="clear" w:color="auto" w:fill="auto"/>
            <w:noWrap/>
            <w:vAlign w:val="bottom"/>
            <w:hideMark/>
          </w:tcPr>
          <w:p w14:paraId="7F4BD717"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1114" w:type="dxa"/>
            <w:tcBorders>
              <w:top w:val="nil"/>
              <w:left w:val="nil"/>
              <w:bottom w:val="nil"/>
              <w:right w:val="nil"/>
            </w:tcBorders>
            <w:shd w:val="clear" w:color="auto" w:fill="auto"/>
            <w:noWrap/>
            <w:vAlign w:val="bottom"/>
            <w:hideMark/>
          </w:tcPr>
          <w:p w14:paraId="1B878D30" w14:textId="77777777" w:rsidR="00084C74" w:rsidRPr="00084C74" w:rsidRDefault="00084C74" w:rsidP="00084C74">
            <w:pPr>
              <w:widowControl/>
              <w:suppressAutoHyphens w:val="0"/>
              <w:autoSpaceDE/>
              <w:spacing w:after="0" w:line="240" w:lineRule="auto"/>
              <w:ind w:firstLine="0"/>
              <w:jc w:val="right"/>
              <w:rPr>
                <w:rFonts w:ascii="Times New Roman" w:hAnsi="Times New Roman" w:cs="Times New Roman"/>
                <w:sz w:val="20"/>
                <w:lang w:eastAsia="cs-CZ"/>
              </w:rPr>
            </w:pPr>
          </w:p>
        </w:tc>
        <w:tc>
          <w:tcPr>
            <w:tcW w:w="960" w:type="dxa"/>
            <w:tcBorders>
              <w:top w:val="nil"/>
              <w:left w:val="nil"/>
              <w:bottom w:val="nil"/>
              <w:right w:val="nil"/>
            </w:tcBorders>
            <w:shd w:val="clear" w:color="auto" w:fill="auto"/>
            <w:noWrap/>
            <w:vAlign w:val="bottom"/>
            <w:hideMark/>
          </w:tcPr>
          <w:p w14:paraId="3A40196B"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r>
      <w:tr w:rsidR="00084C74" w:rsidRPr="00084C74" w14:paraId="3007BA1B" w14:textId="77777777" w:rsidTr="00084C74">
        <w:trPr>
          <w:trHeight w:val="315"/>
        </w:trPr>
        <w:tc>
          <w:tcPr>
            <w:tcW w:w="3852" w:type="dxa"/>
            <w:gridSpan w:val="4"/>
            <w:tcBorders>
              <w:top w:val="nil"/>
              <w:left w:val="nil"/>
              <w:bottom w:val="nil"/>
              <w:right w:val="nil"/>
            </w:tcBorders>
            <w:shd w:val="clear" w:color="auto" w:fill="auto"/>
            <w:noWrap/>
            <w:vAlign w:val="bottom"/>
            <w:hideMark/>
          </w:tcPr>
          <w:p w14:paraId="7356FA28"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Účinnost kotle NCV 80/60 °C:</w:t>
            </w:r>
          </w:p>
        </w:tc>
        <w:tc>
          <w:tcPr>
            <w:tcW w:w="1041" w:type="dxa"/>
            <w:tcBorders>
              <w:top w:val="nil"/>
              <w:left w:val="nil"/>
              <w:bottom w:val="nil"/>
              <w:right w:val="nil"/>
            </w:tcBorders>
            <w:shd w:val="clear" w:color="auto" w:fill="auto"/>
            <w:noWrap/>
            <w:vAlign w:val="bottom"/>
            <w:hideMark/>
          </w:tcPr>
          <w:p w14:paraId="6AC7D501"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c>
          <w:tcPr>
            <w:tcW w:w="905" w:type="dxa"/>
            <w:tcBorders>
              <w:top w:val="nil"/>
              <w:left w:val="nil"/>
              <w:bottom w:val="nil"/>
              <w:right w:val="nil"/>
            </w:tcBorders>
            <w:shd w:val="clear" w:color="auto" w:fill="auto"/>
            <w:noWrap/>
            <w:vAlign w:val="bottom"/>
            <w:hideMark/>
          </w:tcPr>
          <w:p w14:paraId="0F43669A" w14:textId="77777777" w:rsidR="00084C74" w:rsidRPr="00084C74" w:rsidRDefault="00084C74" w:rsidP="00084C74">
            <w:pPr>
              <w:widowControl/>
              <w:suppressAutoHyphens w:val="0"/>
              <w:autoSpaceDE/>
              <w:spacing w:after="0" w:line="240" w:lineRule="auto"/>
              <w:ind w:firstLine="0"/>
              <w:jc w:val="right"/>
              <w:rPr>
                <w:rFonts w:ascii="Calibri" w:hAnsi="Calibri" w:cs="Calibri"/>
                <w:color w:val="000000"/>
                <w:szCs w:val="24"/>
                <w:lang w:eastAsia="cs-CZ"/>
              </w:rPr>
            </w:pPr>
            <w:r w:rsidRPr="00084C74">
              <w:rPr>
                <w:rFonts w:ascii="Calibri" w:hAnsi="Calibri" w:cs="Calibri"/>
                <w:color w:val="000000"/>
                <w:szCs w:val="24"/>
                <w:lang w:eastAsia="cs-CZ"/>
              </w:rPr>
              <w:t>97,9</w:t>
            </w:r>
          </w:p>
        </w:tc>
        <w:tc>
          <w:tcPr>
            <w:tcW w:w="1114" w:type="dxa"/>
            <w:tcBorders>
              <w:top w:val="nil"/>
              <w:left w:val="nil"/>
              <w:bottom w:val="nil"/>
              <w:right w:val="nil"/>
            </w:tcBorders>
            <w:shd w:val="clear" w:color="auto" w:fill="auto"/>
            <w:noWrap/>
            <w:vAlign w:val="bottom"/>
            <w:hideMark/>
          </w:tcPr>
          <w:p w14:paraId="27C3D054"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w:t>
            </w:r>
          </w:p>
        </w:tc>
        <w:tc>
          <w:tcPr>
            <w:tcW w:w="960" w:type="dxa"/>
            <w:tcBorders>
              <w:top w:val="nil"/>
              <w:left w:val="nil"/>
              <w:bottom w:val="nil"/>
              <w:right w:val="nil"/>
            </w:tcBorders>
            <w:shd w:val="clear" w:color="auto" w:fill="auto"/>
            <w:noWrap/>
            <w:vAlign w:val="bottom"/>
            <w:hideMark/>
          </w:tcPr>
          <w:p w14:paraId="1E1BEAB4"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r>
      <w:tr w:rsidR="00084C74" w:rsidRPr="00084C74" w14:paraId="7A261317" w14:textId="77777777" w:rsidTr="00084C74">
        <w:trPr>
          <w:trHeight w:val="315"/>
        </w:trPr>
        <w:tc>
          <w:tcPr>
            <w:tcW w:w="3852" w:type="dxa"/>
            <w:gridSpan w:val="4"/>
            <w:tcBorders>
              <w:top w:val="nil"/>
              <w:left w:val="nil"/>
              <w:bottom w:val="nil"/>
              <w:right w:val="nil"/>
            </w:tcBorders>
            <w:shd w:val="clear" w:color="auto" w:fill="auto"/>
            <w:noWrap/>
            <w:vAlign w:val="bottom"/>
            <w:hideMark/>
          </w:tcPr>
          <w:p w14:paraId="337B78EC"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Účinnost kotle NCV 40/30 °C:</w:t>
            </w:r>
          </w:p>
        </w:tc>
        <w:tc>
          <w:tcPr>
            <w:tcW w:w="1041" w:type="dxa"/>
            <w:tcBorders>
              <w:top w:val="nil"/>
              <w:left w:val="nil"/>
              <w:bottom w:val="nil"/>
              <w:right w:val="nil"/>
            </w:tcBorders>
            <w:shd w:val="clear" w:color="auto" w:fill="auto"/>
            <w:noWrap/>
            <w:vAlign w:val="bottom"/>
            <w:hideMark/>
          </w:tcPr>
          <w:p w14:paraId="22DACAC8"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c>
          <w:tcPr>
            <w:tcW w:w="905" w:type="dxa"/>
            <w:tcBorders>
              <w:top w:val="nil"/>
              <w:left w:val="nil"/>
              <w:bottom w:val="nil"/>
              <w:right w:val="nil"/>
            </w:tcBorders>
            <w:shd w:val="clear" w:color="auto" w:fill="auto"/>
            <w:noWrap/>
            <w:vAlign w:val="bottom"/>
            <w:hideMark/>
          </w:tcPr>
          <w:p w14:paraId="3EA2145A" w14:textId="77777777" w:rsidR="00084C74" w:rsidRPr="00084C74" w:rsidRDefault="00084C74" w:rsidP="00084C74">
            <w:pPr>
              <w:widowControl/>
              <w:suppressAutoHyphens w:val="0"/>
              <w:autoSpaceDE/>
              <w:spacing w:after="0" w:line="240" w:lineRule="auto"/>
              <w:ind w:firstLine="0"/>
              <w:jc w:val="right"/>
              <w:rPr>
                <w:rFonts w:ascii="Calibri" w:hAnsi="Calibri" w:cs="Calibri"/>
                <w:color w:val="000000"/>
                <w:szCs w:val="24"/>
                <w:lang w:eastAsia="cs-CZ"/>
              </w:rPr>
            </w:pPr>
            <w:r w:rsidRPr="00084C74">
              <w:rPr>
                <w:rFonts w:ascii="Calibri" w:hAnsi="Calibri" w:cs="Calibri"/>
                <w:color w:val="000000"/>
                <w:szCs w:val="24"/>
                <w:lang w:eastAsia="cs-CZ"/>
              </w:rPr>
              <w:t>109,7</w:t>
            </w:r>
          </w:p>
        </w:tc>
        <w:tc>
          <w:tcPr>
            <w:tcW w:w="1114" w:type="dxa"/>
            <w:tcBorders>
              <w:top w:val="nil"/>
              <w:left w:val="nil"/>
              <w:bottom w:val="nil"/>
              <w:right w:val="nil"/>
            </w:tcBorders>
            <w:shd w:val="clear" w:color="auto" w:fill="auto"/>
            <w:noWrap/>
            <w:vAlign w:val="bottom"/>
            <w:hideMark/>
          </w:tcPr>
          <w:p w14:paraId="6AF39549"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w:t>
            </w:r>
          </w:p>
        </w:tc>
        <w:tc>
          <w:tcPr>
            <w:tcW w:w="960" w:type="dxa"/>
            <w:tcBorders>
              <w:top w:val="nil"/>
              <w:left w:val="nil"/>
              <w:bottom w:val="nil"/>
              <w:right w:val="nil"/>
            </w:tcBorders>
            <w:shd w:val="clear" w:color="auto" w:fill="auto"/>
            <w:noWrap/>
            <w:vAlign w:val="bottom"/>
            <w:hideMark/>
          </w:tcPr>
          <w:p w14:paraId="1DB3147F"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r>
      <w:tr w:rsidR="00084C74" w:rsidRPr="00084C74" w14:paraId="701E6579" w14:textId="77777777" w:rsidTr="00084C74">
        <w:trPr>
          <w:trHeight w:val="315"/>
        </w:trPr>
        <w:tc>
          <w:tcPr>
            <w:tcW w:w="3852" w:type="dxa"/>
            <w:gridSpan w:val="4"/>
            <w:tcBorders>
              <w:top w:val="nil"/>
              <w:left w:val="nil"/>
              <w:bottom w:val="nil"/>
              <w:right w:val="nil"/>
            </w:tcBorders>
            <w:shd w:val="clear" w:color="auto" w:fill="auto"/>
            <w:noWrap/>
            <w:vAlign w:val="bottom"/>
            <w:hideMark/>
          </w:tcPr>
          <w:p w14:paraId="21B75A16"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 xml:space="preserve">Odpor na straně vody ΔT </w:t>
            </w:r>
            <w:proofErr w:type="gramStart"/>
            <w:r w:rsidRPr="00084C74">
              <w:rPr>
                <w:rFonts w:ascii="Calibri" w:hAnsi="Calibri" w:cs="Calibri"/>
                <w:color w:val="000000"/>
                <w:szCs w:val="24"/>
                <w:lang w:eastAsia="cs-CZ"/>
              </w:rPr>
              <w:t>20K</w:t>
            </w:r>
            <w:proofErr w:type="gramEnd"/>
            <w:r w:rsidRPr="00084C74">
              <w:rPr>
                <w:rFonts w:ascii="Calibri" w:hAnsi="Calibri" w:cs="Calibri"/>
                <w:color w:val="000000"/>
                <w:szCs w:val="24"/>
                <w:lang w:eastAsia="cs-CZ"/>
              </w:rPr>
              <w:t>:</w:t>
            </w:r>
          </w:p>
        </w:tc>
        <w:tc>
          <w:tcPr>
            <w:tcW w:w="1041" w:type="dxa"/>
            <w:tcBorders>
              <w:top w:val="nil"/>
              <w:left w:val="nil"/>
              <w:bottom w:val="nil"/>
              <w:right w:val="nil"/>
            </w:tcBorders>
            <w:shd w:val="clear" w:color="auto" w:fill="auto"/>
            <w:noWrap/>
            <w:vAlign w:val="bottom"/>
            <w:hideMark/>
          </w:tcPr>
          <w:p w14:paraId="1207B3DE"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c>
          <w:tcPr>
            <w:tcW w:w="905" w:type="dxa"/>
            <w:tcBorders>
              <w:top w:val="nil"/>
              <w:left w:val="nil"/>
              <w:bottom w:val="nil"/>
              <w:right w:val="nil"/>
            </w:tcBorders>
            <w:shd w:val="clear" w:color="auto" w:fill="auto"/>
            <w:noWrap/>
            <w:vAlign w:val="bottom"/>
            <w:hideMark/>
          </w:tcPr>
          <w:p w14:paraId="4C8C1620" w14:textId="77777777" w:rsidR="00084C74" w:rsidRPr="00084C74" w:rsidRDefault="00084C74" w:rsidP="00084C74">
            <w:pPr>
              <w:widowControl/>
              <w:suppressAutoHyphens w:val="0"/>
              <w:autoSpaceDE/>
              <w:spacing w:after="0" w:line="240" w:lineRule="auto"/>
              <w:ind w:firstLine="0"/>
              <w:jc w:val="right"/>
              <w:rPr>
                <w:rFonts w:ascii="Calibri" w:hAnsi="Calibri" w:cs="Calibri"/>
                <w:color w:val="000000"/>
                <w:szCs w:val="24"/>
                <w:lang w:eastAsia="cs-CZ"/>
              </w:rPr>
            </w:pPr>
            <w:r w:rsidRPr="00084C74">
              <w:rPr>
                <w:rFonts w:ascii="Calibri" w:hAnsi="Calibri" w:cs="Calibri"/>
                <w:color w:val="000000"/>
                <w:szCs w:val="24"/>
                <w:lang w:eastAsia="cs-CZ"/>
              </w:rPr>
              <w:t>1,0</w:t>
            </w:r>
          </w:p>
        </w:tc>
        <w:tc>
          <w:tcPr>
            <w:tcW w:w="1114" w:type="dxa"/>
            <w:tcBorders>
              <w:top w:val="nil"/>
              <w:left w:val="nil"/>
              <w:bottom w:val="nil"/>
              <w:right w:val="nil"/>
            </w:tcBorders>
            <w:shd w:val="clear" w:color="auto" w:fill="auto"/>
            <w:noWrap/>
            <w:vAlign w:val="bottom"/>
            <w:hideMark/>
          </w:tcPr>
          <w:p w14:paraId="3539B898"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kPa</w:t>
            </w:r>
          </w:p>
        </w:tc>
        <w:tc>
          <w:tcPr>
            <w:tcW w:w="960" w:type="dxa"/>
            <w:tcBorders>
              <w:top w:val="nil"/>
              <w:left w:val="nil"/>
              <w:bottom w:val="nil"/>
              <w:right w:val="nil"/>
            </w:tcBorders>
            <w:shd w:val="clear" w:color="auto" w:fill="auto"/>
            <w:noWrap/>
            <w:vAlign w:val="bottom"/>
            <w:hideMark/>
          </w:tcPr>
          <w:p w14:paraId="026B7970"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r>
      <w:tr w:rsidR="00084C74" w:rsidRPr="00084C74" w14:paraId="1DD68B1C" w14:textId="77777777" w:rsidTr="00084C74">
        <w:trPr>
          <w:trHeight w:val="315"/>
        </w:trPr>
        <w:tc>
          <w:tcPr>
            <w:tcW w:w="2889" w:type="dxa"/>
            <w:gridSpan w:val="3"/>
            <w:tcBorders>
              <w:top w:val="nil"/>
              <w:left w:val="nil"/>
              <w:bottom w:val="nil"/>
              <w:right w:val="nil"/>
            </w:tcBorders>
            <w:shd w:val="clear" w:color="auto" w:fill="auto"/>
            <w:noWrap/>
            <w:vAlign w:val="bottom"/>
            <w:hideMark/>
          </w:tcPr>
          <w:p w14:paraId="5927BE1B"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Přípustný provozní tlak kotle:</w:t>
            </w:r>
          </w:p>
        </w:tc>
        <w:tc>
          <w:tcPr>
            <w:tcW w:w="963" w:type="dxa"/>
            <w:tcBorders>
              <w:top w:val="nil"/>
              <w:left w:val="nil"/>
              <w:bottom w:val="nil"/>
              <w:right w:val="nil"/>
            </w:tcBorders>
            <w:shd w:val="clear" w:color="auto" w:fill="auto"/>
            <w:noWrap/>
            <w:vAlign w:val="bottom"/>
            <w:hideMark/>
          </w:tcPr>
          <w:p w14:paraId="64B4F8FC"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c>
          <w:tcPr>
            <w:tcW w:w="1041" w:type="dxa"/>
            <w:tcBorders>
              <w:top w:val="nil"/>
              <w:left w:val="nil"/>
              <w:bottom w:val="nil"/>
              <w:right w:val="nil"/>
            </w:tcBorders>
            <w:shd w:val="clear" w:color="auto" w:fill="auto"/>
            <w:noWrap/>
            <w:vAlign w:val="bottom"/>
            <w:hideMark/>
          </w:tcPr>
          <w:p w14:paraId="0DC0B9F6"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05" w:type="dxa"/>
            <w:tcBorders>
              <w:top w:val="nil"/>
              <w:left w:val="nil"/>
              <w:bottom w:val="nil"/>
              <w:right w:val="nil"/>
            </w:tcBorders>
            <w:shd w:val="clear" w:color="auto" w:fill="auto"/>
            <w:noWrap/>
            <w:vAlign w:val="bottom"/>
            <w:hideMark/>
          </w:tcPr>
          <w:p w14:paraId="35AAC0C0" w14:textId="77777777" w:rsidR="00084C74" w:rsidRPr="00084C74" w:rsidRDefault="00084C74" w:rsidP="00084C74">
            <w:pPr>
              <w:widowControl/>
              <w:suppressAutoHyphens w:val="0"/>
              <w:autoSpaceDE/>
              <w:spacing w:after="0" w:line="240" w:lineRule="auto"/>
              <w:ind w:firstLine="0"/>
              <w:jc w:val="right"/>
              <w:rPr>
                <w:rFonts w:ascii="Calibri" w:hAnsi="Calibri" w:cs="Calibri"/>
                <w:color w:val="000000"/>
                <w:szCs w:val="24"/>
                <w:lang w:eastAsia="cs-CZ"/>
              </w:rPr>
            </w:pPr>
            <w:r w:rsidRPr="00084C74">
              <w:rPr>
                <w:rFonts w:ascii="Calibri" w:hAnsi="Calibri" w:cs="Calibri"/>
                <w:color w:val="000000"/>
                <w:szCs w:val="24"/>
                <w:lang w:eastAsia="cs-CZ"/>
              </w:rPr>
              <w:t>5</w:t>
            </w:r>
          </w:p>
        </w:tc>
        <w:tc>
          <w:tcPr>
            <w:tcW w:w="1114" w:type="dxa"/>
            <w:tcBorders>
              <w:top w:val="nil"/>
              <w:left w:val="nil"/>
              <w:bottom w:val="nil"/>
              <w:right w:val="nil"/>
            </w:tcBorders>
            <w:shd w:val="clear" w:color="auto" w:fill="auto"/>
            <w:noWrap/>
            <w:vAlign w:val="bottom"/>
            <w:hideMark/>
          </w:tcPr>
          <w:p w14:paraId="72B149EF"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bar</w:t>
            </w:r>
          </w:p>
        </w:tc>
        <w:tc>
          <w:tcPr>
            <w:tcW w:w="960" w:type="dxa"/>
            <w:tcBorders>
              <w:top w:val="nil"/>
              <w:left w:val="nil"/>
              <w:bottom w:val="nil"/>
              <w:right w:val="nil"/>
            </w:tcBorders>
            <w:shd w:val="clear" w:color="auto" w:fill="auto"/>
            <w:noWrap/>
            <w:vAlign w:val="bottom"/>
            <w:hideMark/>
          </w:tcPr>
          <w:p w14:paraId="166E3AE8"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r>
      <w:tr w:rsidR="00084C74" w:rsidRPr="00084C74" w14:paraId="26C1AEC6" w14:textId="77777777" w:rsidTr="00084C74">
        <w:trPr>
          <w:trHeight w:val="315"/>
        </w:trPr>
        <w:tc>
          <w:tcPr>
            <w:tcW w:w="963" w:type="dxa"/>
            <w:tcBorders>
              <w:top w:val="nil"/>
              <w:left w:val="nil"/>
              <w:bottom w:val="nil"/>
              <w:right w:val="nil"/>
            </w:tcBorders>
            <w:shd w:val="clear" w:color="auto" w:fill="auto"/>
            <w:noWrap/>
            <w:vAlign w:val="bottom"/>
            <w:hideMark/>
          </w:tcPr>
          <w:p w14:paraId="4AA366D2"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63" w:type="dxa"/>
            <w:tcBorders>
              <w:top w:val="nil"/>
              <w:left w:val="nil"/>
              <w:bottom w:val="nil"/>
              <w:right w:val="nil"/>
            </w:tcBorders>
            <w:shd w:val="clear" w:color="auto" w:fill="auto"/>
            <w:noWrap/>
            <w:vAlign w:val="bottom"/>
            <w:hideMark/>
          </w:tcPr>
          <w:p w14:paraId="79AC6239"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63" w:type="dxa"/>
            <w:tcBorders>
              <w:top w:val="nil"/>
              <w:left w:val="nil"/>
              <w:bottom w:val="nil"/>
              <w:right w:val="nil"/>
            </w:tcBorders>
            <w:shd w:val="clear" w:color="auto" w:fill="auto"/>
            <w:noWrap/>
            <w:vAlign w:val="bottom"/>
            <w:hideMark/>
          </w:tcPr>
          <w:p w14:paraId="65412009"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63" w:type="dxa"/>
            <w:tcBorders>
              <w:top w:val="nil"/>
              <w:left w:val="nil"/>
              <w:bottom w:val="nil"/>
              <w:right w:val="nil"/>
            </w:tcBorders>
            <w:shd w:val="clear" w:color="auto" w:fill="auto"/>
            <w:noWrap/>
            <w:vAlign w:val="bottom"/>
            <w:hideMark/>
          </w:tcPr>
          <w:p w14:paraId="0E76F8E0"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1041" w:type="dxa"/>
            <w:tcBorders>
              <w:top w:val="nil"/>
              <w:left w:val="nil"/>
              <w:bottom w:val="nil"/>
              <w:right w:val="nil"/>
            </w:tcBorders>
            <w:shd w:val="clear" w:color="auto" w:fill="auto"/>
            <w:noWrap/>
            <w:vAlign w:val="bottom"/>
            <w:hideMark/>
          </w:tcPr>
          <w:p w14:paraId="053669AB"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05" w:type="dxa"/>
            <w:tcBorders>
              <w:top w:val="nil"/>
              <w:left w:val="nil"/>
              <w:bottom w:val="nil"/>
              <w:right w:val="nil"/>
            </w:tcBorders>
            <w:shd w:val="clear" w:color="auto" w:fill="auto"/>
            <w:noWrap/>
            <w:vAlign w:val="bottom"/>
            <w:hideMark/>
          </w:tcPr>
          <w:p w14:paraId="138072C1"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1114" w:type="dxa"/>
            <w:tcBorders>
              <w:top w:val="nil"/>
              <w:left w:val="nil"/>
              <w:bottom w:val="nil"/>
              <w:right w:val="nil"/>
            </w:tcBorders>
            <w:shd w:val="clear" w:color="auto" w:fill="auto"/>
            <w:noWrap/>
            <w:vAlign w:val="bottom"/>
            <w:hideMark/>
          </w:tcPr>
          <w:p w14:paraId="41BF2157"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60" w:type="dxa"/>
            <w:tcBorders>
              <w:top w:val="nil"/>
              <w:left w:val="nil"/>
              <w:bottom w:val="nil"/>
              <w:right w:val="nil"/>
            </w:tcBorders>
            <w:shd w:val="clear" w:color="auto" w:fill="auto"/>
            <w:noWrap/>
            <w:vAlign w:val="bottom"/>
            <w:hideMark/>
          </w:tcPr>
          <w:p w14:paraId="5C6EEE88"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r>
      <w:tr w:rsidR="00084C74" w:rsidRPr="00084C74" w14:paraId="40CEC24D" w14:textId="77777777" w:rsidTr="00084C74">
        <w:trPr>
          <w:trHeight w:val="315"/>
        </w:trPr>
        <w:tc>
          <w:tcPr>
            <w:tcW w:w="3852" w:type="dxa"/>
            <w:gridSpan w:val="4"/>
            <w:tcBorders>
              <w:top w:val="nil"/>
              <w:left w:val="nil"/>
              <w:bottom w:val="nil"/>
              <w:right w:val="nil"/>
            </w:tcBorders>
            <w:shd w:val="clear" w:color="auto" w:fill="auto"/>
            <w:noWrap/>
            <w:vAlign w:val="bottom"/>
            <w:hideMark/>
          </w:tcPr>
          <w:p w14:paraId="6F5AB3D3"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Připojovací tlak zemního plynu:</w:t>
            </w:r>
          </w:p>
        </w:tc>
        <w:tc>
          <w:tcPr>
            <w:tcW w:w="1041" w:type="dxa"/>
            <w:tcBorders>
              <w:top w:val="nil"/>
              <w:left w:val="nil"/>
              <w:bottom w:val="nil"/>
              <w:right w:val="nil"/>
            </w:tcBorders>
            <w:shd w:val="clear" w:color="auto" w:fill="auto"/>
            <w:noWrap/>
            <w:vAlign w:val="bottom"/>
            <w:hideMark/>
          </w:tcPr>
          <w:p w14:paraId="05B193F3"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c>
          <w:tcPr>
            <w:tcW w:w="905" w:type="dxa"/>
            <w:tcBorders>
              <w:top w:val="nil"/>
              <w:left w:val="nil"/>
              <w:bottom w:val="nil"/>
              <w:right w:val="nil"/>
            </w:tcBorders>
            <w:shd w:val="clear" w:color="auto" w:fill="auto"/>
            <w:noWrap/>
            <w:vAlign w:val="bottom"/>
            <w:hideMark/>
          </w:tcPr>
          <w:p w14:paraId="08859325" w14:textId="77777777" w:rsidR="00084C74" w:rsidRPr="00084C74" w:rsidRDefault="00084C74" w:rsidP="00084C74">
            <w:pPr>
              <w:widowControl/>
              <w:suppressAutoHyphens w:val="0"/>
              <w:autoSpaceDE/>
              <w:spacing w:after="0" w:line="240" w:lineRule="auto"/>
              <w:ind w:firstLine="0"/>
              <w:jc w:val="right"/>
              <w:rPr>
                <w:rFonts w:ascii="Calibri" w:hAnsi="Calibri" w:cs="Calibri"/>
                <w:color w:val="000000"/>
                <w:szCs w:val="24"/>
                <w:lang w:eastAsia="cs-CZ"/>
              </w:rPr>
            </w:pPr>
            <w:r w:rsidRPr="00084C74">
              <w:rPr>
                <w:rFonts w:ascii="Calibri" w:hAnsi="Calibri" w:cs="Calibri"/>
                <w:color w:val="000000"/>
                <w:szCs w:val="24"/>
                <w:lang w:eastAsia="cs-CZ"/>
              </w:rPr>
              <w:t>1,7-8</w:t>
            </w:r>
          </w:p>
        </w:tc>
        <w:tc>
          <w:tcPr>
            <w:tcW w:w="1114" w:type="dxa"/>
            <w:tcBorders>
              <w:top w:val="nil"/>
              <w:left w:val="nil"/>
              <w:bottom w:val="nil"/>
              <w:right w:val="nil"/>
            </w:tcBorders>
            <w:shd w:val="clear" w:color="auto" w:fill="auto"/>
            <w:noWrap/>
            <w:vAlign w:val="bottom"/>
            <w:hideMark/>
          </w:tcPr>
          <w:p w14:paraId="076A98F5"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kPa</w:t>
            </w:r>
          </w:p>
        </w:tc>
        <w:tc>
          <w:tcPr>
            <w:tcW w:w="960" w:type="dxa"/>
            <w:tcBorders>
              <w:top w:val="nil"/>
              <w:left w:val="nil"/>
              <w:bottom w:val="nil"/>
              <w:right w:val="nil"/>
            </w:tcBorders>
            <w:shd w:val="clear" w:color="auto" w:fill="auto"/>
            <w:noWrap/>
            <w:vAlign w:val="bottom"/>
            <w:hideMark/>
          </w:tcPr>
          <w:p w14:paraId="1F7AB06B"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r>
      <w:tr w:rsidR="00084C74" w:rsidRPr="00084C74" w14:paraId="41071A31" w14:textId="77777777" w:rsidTr="00084C74">
        <w:trPr>
          <w:trHeight w:val="315"/>
        </w:trPr>
        <w:tc>
          <w:tcPr>
            <w:tcW w:w="3852" w:type="dxa"/>
            <w:gridSpan w:val="4"/>
            <w:tcBorders>
              <w:top w:val="nil"/>
              <w:left w:val="nil"/>
              <w:bottom w:val="nil"/>
              <w:right w:val="nil"/>
            </w:tcBorders>
            <w:shd w:val="clear" w:color="auto" w:fill="auto"/>
            <w:noWrap/>
            <w:vAlign w:val="bottom"/>
            <w:hideMark/>
          </w:tcPr>
          <w:p w14:paraId="5700DE1C"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Spotřeba paliva při 0 °C a 1013 mbar</w:t>
            </w:r>
          </w:p>
        </w:tc>
        <w:tc>
          <w:tcPr>
            <w:tcW w:w="1041" w:type="dxa"/>
            <w:tcBorders>
              <w:top w:val="nil"/>
              <w:left w:val="nil"/>
              <w:bottom w:val="nil"/>
              <w:right w:val="nil"/>
            </w:tcBorders>
            <w:shd w:val="clear" w:color="auto" w:fill="auto"/>
            <w:noWrap/>
            <w:vAlign w:val="bottom"/>
            <w:hideMark/>
          </w:tcPr>
          <w:p w14:paraId="5755C5B7"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c>
          <w:tcPr>
            <w:tcW w:w="905" w:type="dxa"/>
            <w:tcBorders>
              <w:top w:val="nil"/>
              <w:left w:val="nil"/>
              <w:bottom w:val="nil"/>
              <w:right w:val="nil"/>
            </w:tcBorders>
            <w:shd w:val="clear" w:color="auto" w:fill="auto"/>
            <w:noWrap/>
            <w:vAlign w:val="bottom"/>
            <w:hideMark/>
          </w:tcPr>
          <w:p w14:paraId="108EECC1" w14:textId="77777777" w:rsidR="00084C74" w:rsidRPr="00084C74" w:rsidRDefault="00084C74" w:rsidP="00084C74">
            <w:pPr>
              <w:widowControl/>
              <w:suppressAutoHyphens w:val="0"/>
              <w:autoSpaceDE/>
              <w:spacing w:after="0" w:line="240" w:lineRule="auto"/>
              <w:ind w:firstLine="0"/>
              <w:jc w:val="right"/>
              <w:rPr>
                <w:rFonts w:ascii="Calibri" w:hAnsi="Calibri" w:cs="Calibri"/>
                <w:color w:val="000000"/>
                <w:szCs w:val="24"/>
                <w:lang w:eastAsia="cs-CZ"/>
              </w:rPr>
            </w:pPr>
            <w:r w:rsidRPr="00084C74">
              <w:rPr>
                <w:rFonts w:ascii="Calibri" w:hAnsi="Calibri" w:cs="Calibri"/>
                <w:color w:val="000000"/>
                <w:szCs w:val="24"/>
                <w:lang w:eastAsia="cs-CZ"/>
              </w:rPr>
              <w:t>37,6</w:t>
            </w:r>
          </w:p>
        </w:tc>
        <w:tc>
          <w:tcPr>
            <w:tcW w:w="1114" w:type="dxa"/>
            <w:tcBorders>
              <w:top w:val="nil"/>
              <w:left w:val="nil"/>
              <w:bottom w:val="nil"/>
              <w:right w:val="nil"/>
            </w:tcBorders>
            <w:shd w:val="clear" w:color="auto" w:fill="auto"/>
            <w:noWrap/>
            <w:vAlign w:val="bottom"/>
            <w:hideMark/>
          </w:tcPr>
          <w:p w14:paraId="561D5179"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m3/h</w:t>
            </w:r>
          </w:p>
        </w:tc>
        <w:tc>
          <w:tcPr>
            <w:tcW w:w="960" w:type="dxa"/>
            <w:tcBorders>
              <w:top w:val="nil"/>
              <w:left w:val="nil"/>
              <w:bottom w:val="nil"/>
              <w:right w:val="nil"/>
            </w:tcBorders>
            <w:shd w:val="clear" w:color="auto" w:fill="auto"/>
            <w:noWrap/>
            <w:vAlign w:val="bottom"/>
            <w:hideMark/>
          </w:tcPr>
          <w:p w14:paraId="3DCB72FD"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r>
      <w:tr w:rsidR="00084C74" w:rsidRPr="00084C74" w14:paraId="7FACC118" w14:textId="77777777" w:rsidTr="00084C74">
        <w:trPr>
          <w:trHeight w:val="315"/>
        </w:trPr>
        <w:tc>
          <w:tcPr>
            <w:tcW w:w="2889" w:type="dxa"/>
            <w:gridSpan w:val="3"/>
            <w:tcBorders>
              <w:top w:val="nil"/>
              <w:left w:val="nil"/>
              <w:bottom w:val="nil"/>
              <w:right w:val="nil"/>
            </w:tcBorders>
            <w:shd w:val="clear" w:color="auto" w:fill="auto"/>
            <w:noWrap/>
            <w:vAlign w:val="bottom"/>
            <w:hideMark/>
          </w:tcPr>
          <w:p w14:paraId="4884B22D"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Množství kondenzátu:</w:t>
            </w:r>
          </w:p>
        </w:tc>
        <w:tc>
          <w:tcPr>
            <w:tcW w:w="963" w:type="dxa"/>
            <w:tcBorders>
              <w:top w:val="nil"/>
              <w:left w:val="nil"/>
              <w:bottom w:val="nil"/>
              <w:right w:val="nil"/>
            </w:tcBorders>
            <w:shd w:val="clear" w:color="auto" w:fill="auto"/>
            <w:noWrap/>
            <w:vAlign w:val="bottom"/>
            <w:hideMark/>
          </w:tcPr>
          <w:p w14:paraId="25B4432A"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c>
          <w:tcPr>
            <w:tcW w:w="1041" w:type="dxa"/>
            <w:tcBorders>
              <w:top w:val="nil"/>
              <w:left w:val="nil"/>
              <w:bottom w:val="nil"/>
              <w:right w:val="nil"/>
            </w:tcBorders>
            <w:shd w:val="clear" w:color="auto" w:fill="auto"/>
            <w:noWrap/>
            <w:vAlign w:val="bottom"/>
            <w:hideMark/>
          </w:tcPr>
          <w:p w14:paraId="0F815B6E"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05" w:type="dxa"/>
            <w:tcBorders>
              <w:top w:val="nil"/>
              <w:left w:val="nil"/>
              <w:bottom w:val="nil"/>
              <w:right w:val="nil"/>
            </w:tcBorders>
            <w:shd w:val="clear" w:color="auto" w:fill="auto"/>
            <w:noWrap/>
            <w:vAlign w:val="bottom"/>
            <w:hideMark/>
          </w:tcPr>
          <w:p w14:paraId="709D5523" w14:textId="77777777" w:rsidR="00084C74" w:rsidRPr="00084C74" w:rsidRDefault="00084C74" w:rsidP="00084C74">
            <w:pPr>
              <w:widowControl/>
              <w:suppressAutoHyphens w:val="0"/>
              <w:autoSpaceDE/>
              <w:spacing w:after="0" w:line="240" w:lineRule="auto"/>
              <w:ind w:firstLine="0"/>
              <w:jc w:val="right"/>
              <w:rPr>
                <w:rFonts w:ascii="Calibri" w:hAnsi="Calibri" w:cs="Calibri"/>
                <w:color w:val="000000"/>
                <w:szCs w:val="24"/>
                <w:lang w:eastAsia="cs-CZ"/>
              </w:rPr>
            </w:pPr>
            <w:r w:rsidRPr="00084C74">
              <w:rPr>
                <w:rFonts w:ascii="Calibri" w:hAnsi="Calibri" w:cs="Calibri"/>
                <w:color w:val="000000"/>
                <w:szCs w:val="24"/>
                <w:lang w:eastAsia="cs-CZ"/>
              </w:rPr>
              <w:t>35,3</w:t>
            </w:r>
          </w:p>
        </w:tc>
        <w:tc>
          <w:tcPr>
            <w:tcW w:w="1114" w:type="dxa"/>
            <w:tcBorders>
              <w:top w:val="nil"/>
              <w:left w:val="nil"/>
              <w:bottom w:val="nil"/>
              <w:right w:val="nil"/>
            </w:tcBorders>
            <w:shd w:val="clear" w:color="auto" w:fill="auto"/>
            <w:noWrap/>
            <w:vAlign w:val="bottom"/>
            <w:hideMark/>
          </w:tcPr>
          <w:p w14:paraId="5ED8192C"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l/h</w:t>
            </w:r>
          </w:p>
        </w:tc>
        <w:tc>
          <w:tcPr>
            <w:tcW w:w="960" w:type="dxa"/>
            <w:tcBorders>
              <w:top w:val="nil"/>
              <w:left w:val="nil"/>
              <w:bottom w:val="nil"/>
              <w:right w:val="nil"/>
            </w:tcBorders>
            <w:shd w:val="clear" w:color="auto" w:fill="auto"/>
            <w:noWrap/>
            <w:vAlign w:val="bottom"/>
            <w:hideMark/>
          </w:tcPr>
          <w:p w14:paraId="234A97C2"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r>
      <w:tr w:rsidR="00084C74" w:rsidRPr="00084C74" w14:paraId="5CDB20B0" w14:textId="77777777" w:rsidTr="00084C74">
        <w:trPr>
          <w:trHeight w:val="315"/>
        </w:trPr>
        <w:tc>
          <w:tcPr>
            <w:tcW w:w="963" w:type="dxa"/>
            <w:tcBorders>
              <w:top w:val="nil"/>
              <w:left w:val="nil"/>
              <w:bottom w:val="nil"/>
              <w:right w:val="nil"/>
            </w:tcBorders>
            <w:shd w:val="clear" w:color="auto" w:fill="auto"/>
            <w:noWrap/>
            <w:vAlign w:val="bottom"/>
            <w:hideMark/>
          </w:tcPr>
          <w:p w14:paraId="2178AAD5"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63" w:type="dxa"/>
            <w:tcBorders>
              <w:top w:val="nil"/>
              <w:left w:val="nil"/>
              <w:bottom w:val="nil"/>
              <w:right w:val="nil"/>
            </w:tcBorders>
            <w:shd w:val="clear" w:color="auto" w:fill="auto"/>
            <w:noWrap/>
            <w:vAlign w:val="bottom"/>
            <w:hideMark/>
          </w:tcPr>
          <w:p w14:paraId="2D3E839F"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63" w:type="dxa"/>
            <w:tcBorders>
              <w:top w:val="nil"/>
              <w:left w:val="nil"/>
              <w:bottom w:val="nil"/>
              <w:right w:val="nil"/>
            </w:tcBorders>
            <w:shd w:val="clear" w:color="auto" w:fill="auto"/>
            <w:noWrap/>
            <w:vAlign w:val="bottom"/>
            <w:hideMark/>
          </w:tcPr>
          <w:p w14:paraId="524C4739"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63" w:type="dxa"/>
            <w:tcBorders>
              <w:top w:val="nil"/>
              <w:left w:val="nil"/>
              <w:bottom w:val="nil"/>
              <w:right w:val="nil"/>
            </w:tcBorders>
            <w:shd w:val="clear" w:color="auto" w:fill="auto"/>
            <w:noWrap/>
            <w:vAlign w:val="bottom"/>
            <w:hideMark/>
          </w:tcPr>
          <w:p w14:paraId="53553517"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1041" w:type="dxa"/>
            <w:tcBorders>
              <w:top w:val="nil"/>
              <w:left w:val="nil"/>
              <w:bottom w:val="nil"/>
              <w:right w:val="nil"/>
            </w:tcBorders>
            <w:shd w:val="clear" w:color="auto" w:fill="auto"/>
            <w:noWrap/>
            <w:vAlign w:val="bottom"/>
            <w:hideMark/>
          </w:tcPr>
          <w:p w14:paraId="06E295F7"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05" w:type="dxa"/>
            <w:tcBorders>
              <w:top w:val="nil"/>
              <w:left w:val="nil"/>
              <w:bottom w:val="nil"/>
              <w:right w:val="nil"/>
            </w:tcBorders>
            <w:shd w:val="clear" w:color="auto" w:fill="auto"/>
            <w:noWrap/>
            <w:vAlign w:val="bottom"/>
            <w:hideMark/>
          </w:tcPr>
          <w:p w14:paraId="3D9FD9B5"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1114" w:type="dxa"/>
            <w:tcBorders>
              <w:top w:val="nil"/>
              <w:left w:val="nil"/>
              <w:bottom w:val="nil"/>
              <w:right w:val="nil"/>
            </w:tcBorders>
            <w:shd w:val="clear" w:color="auto" w:fill="auto"/>
            <w:noWrap/>
            <w:vAlign w:val="bottom"/>
            <w:hideMark/>
          </w:tcPr>
          <w:p w14:paraId="386FB857"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60" w:type="dxa"/>
            <w:tcBorders>
              <w:top w:val="nil"/>
              <w:left w:val="nil"/>
              <w:bottom w:val="nil"/>
              <w:right w:val="nil"/>
            </w:tcBorders>
            <w:shd w:val="clear" w:color="auto" w:fill="auto"/>
            <w:noWrap/>
            <w:vAlign w:val="bottom"/>
            <w:hideMark/>
          </w:tcPr>
          <w:p w14:paraId="30FFB54D"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r>
      <w:tr w:rsidR="00084C74" w:rsidRPr="00084C74" w14:paraId="2FE83BB3" w14:textId="77777777" w:rsidTr="00084C74">
        <w:trPr>
          <w:trHeight w:val="315"/>
        </w:trPr>
        <w:tc>
          <w:tcPr>
            <w:tcW w:w="2889" w:type="dxa"/>
            <w:gridSpan w:val="3"/>
            <w:tcBorders>
              <w:top w:val="nil"/>
              <w:left w:val="nil"/>
              <w:bottom w:val="nil"/>
              <w:right w:val="nil"/>
            </w:tcBorders>
            <w:shd w:val="clear" w:color="auto" w:fill="auto"/>
            <w:noWrap/>
            <w:vAlign w:val="bottom"/>
            <w:hideMark/>
          </w:tcPr>
          <w:p w14:paraId="5D81F859"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Maximální elektrický příkon:</w:t>
            </w:r>
          </w:p>
        </w:tc>
        <w:tc>
          <w:tcPr>
            <w:tcW w:w="963" w:type="dxa"/>
            <w:tcBorders>
              <w:top w:val="nil"/>
              <w:left w:val="nil"/>
              <w:bottom w:val="nil"/>
              <w:right w:val="nil"/>
            </w:tcBorders>
            <w:shd w:val="clear" w:color="auto" w:fill="auto"/>
            <w:noWrap/>
            <w:vAlign w:val="bottom"/>
            <w:hideMark/>
          </w:tcPr>
          <w:p w14:paraId="5E214433"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c>
          <w:tcPr>
            <w:tcW w:w="1041" w:type="dxa"/>
            <w:tcBorders>
              <w:top w:val="nil"/>
              <w:left w:val="nil"/>
              <w:bottom w:val="nil"/>
              <w:right w:val="nil"/>
            </w:tcBorders>
            <w:shd w:val="clear" w:color="auto" w:fill="auto"/>
            <w:noWrap/>
            <w:vAlign w:val="bottom"/>
            <w:hideMark/>
          </w:tcPr>
          <w:p w14:paraId="3D423883"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05" w:type="dxa"/>
            <w:tcBorders>
              <w:top w:val="nil"/>
              <w:left w:val="nil"/>
              <w:bottom w:val="nil"/>
              <w:right w:val="nil"/>
            </w:tcBorders>
            <w:shd w:val="clear" w:color="auto" w:fill="auto"/>
            <w:noWrap/>
            <w:vAlign w:val="bottom"/>
            <w:hideMark/>
          </w:tcPr>
          <w:p w14:paraId="307EC738" w14:textId="77777777" w:rsidR="00084C74" w:rsidRPr="00084C74" w:rsidRDefault="00084C74" w:rsidP="00084C74">
            <w:pPr>
              <w:widowControl/>
              <w:suppressAutoHyphens w:val="0"/>
              <w:autoSpaceDE/>
              <w:spacing w:after="0" w:line="240" w:lineRule="auto"/>
              <w:ind w:firstLine="0"/>
              <w:jc w:val="right"/>
              <w:rPr>
                <w:rFonts w:ascii="Calibri" w:hAnsi="Calibri" w:cs="Calibri"/>
                <w:color w:val="000000"/>
                <w:szCs w:val="24"/>
                <w:lang w:eastAsia="cs-CZ"/>
              </w:rPr>
            </w:pPr>
            <w:r w:rsidRPr="00084C74">
              <w:rPr>
                <w:rFonts w:ascii="Calibri" w:hAnsi="Calibri" w:cs="Calibri"/>
                <w:color w:val="000000"/>
                <w:szCs w:val="24"/>
                <w:lang w:eastAsia="cs-CZ"/>
              </w:rPr>
              <w:t>450</w:t>
            </w:r>
          </w:p>
        </w:tc>
        <w:tc>
          <w:tcPr>
            <w:tcW w:w="1114" w:type="dxa"/>
            <w:tcBorders>
              <w:top w:val="nil"/>
              <w:left w:val="nil"/>
              <w:bottom w:val="nil"/>
              <w:right w:val="nil"/>
            </w:tcBorders>
            <w:shd w:val="clear" w:color="auto" w:fill="auto"/>
            <w:noWrap/>
            <w:vAlign w:val="bottom"/>
            <w:hideMark/>
          </w:tcPr>
          <w:p w14:paraId="0AAD69B7"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W</w:t>
            </w:r>
          </w:p>
        </w:tc>
        <w:tc>
          <w:tcPr>
            <w:tcW w:w="960" w:type="dxa"/>
            <w:tcBorders>
              <w:top w:val="nil"/>
              <w:left w:val="nil"/>
              <w:bottom w:val="nil"/>
              <w:right w:val="nil"/>
            </w:tcBorders>
            <w:shd w:val="clear" w:color="auto" w:fill="auto"/>
            <w:noWrap/>
            <w:vAlign w:val="bottom"/>
            <w:hideMark/>
          </w:tcPr>
          <w:p w14:paraId="39BD5810"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r>
      <w:tr w:rsidR="00084C74" w:rsidRPr="00084C74" w14:paraId="04727C00" w14:textId="77777777" w:rsidTr="00084C74">
        <w:trPr>
          <w:trHeight w:val="315"/>
        </w:trPr>
        <w:tc>
          <w:tcPr>
            <w:tcW w:w="1926" w:type="dxa"/>
            <w:gridSpan w:val="2"/>
            <w:tcBorders>
              <w:top w:val="nil"/>
              <w:left w:val="nil"/>
              <w:bottom w:val="nil"/>
              <w:right w:val="nil"/>
            </w:tcBorders>
            <w:shd w:val="clear" w:color="auto" w:fill="auto"/>
            <w:noWrap/>
            <w:vAlign w:val="bottom"/>
            <w:hideMark/>
          </w:tcPr>
          <w:p w14:paraId="7B470C5A"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Elektrické napětí:</w:t>
            </w:r>
          </w:p>
        </w:tc>
        <w:tc>
          <w:tcPr>
            <w:tcW w:w="963" w:type="dxa"/>
            <w:tcBorders>
              <w:top w:val="nil"/>
              <w:left w:val="nil"/>
              <w:bottom w:val="nil"/>
              <w:right w:val="nil"/>
            </w:tcBorders>
            <w:shd w:val="clear" w:color="auto" w:fill="auto"/>
            <w:noWrap/>
            <w:vAlign w:val="bottom"/>
            <w:hideMark/>
          </w:tcPr>
          <w:p w14:paraId="6FB1E017"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c>
          <w:tcPr>
            <w:tcW w:w="963" w:type="dxa"/>
            <w:tcBorders>
              <w:top w:val="nil"/>
              <w:left w:val="nil"/>
              <w:bottom w:val="nil"/>
              <w:right w:val="nil"/>
            </w:tcBorders>
            <w:shd w:val="clear" w:color="auto" w:fill="auto"/>
            <w:noWrap/>
            <w:vAlign w:val="bottom"/>
            <w:hideMark/>
          </w:tcPr>
          <w:p w14:paraId="15EEB4E4"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1041" w:type="dxa"/>
            <w:tcBorders>
              <w:top w:val="nil"/>
              <w:left w:val="nil"/>
              <w:bottom w:val="nil"/>
              <w:right w:val="nil"/>
            </w:tcBorders>
            <w:shd w:val="clear" w:color="auto" w:fill="auto"/>
            <w:noWrap/>
            <w:vAlign w:val="bottom"/>
            <w:hideMark/>
          </w:tcPr>
          <w:p w14:paraId="019E3CEA"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05" w:type="dxa"/>
            <w:tcBorders>
              <w:top w:val="nil"/>
              <w:left w:val="nil"/>
              <w:bottom w:val="nil"/>
              <w:right w:val="nil"/>
            </w:tcBorders>
            <w:shd w:val="clear" w:color="auto" w:fill="auto"/>
            <w:noWrap/>
            <w:vAlign w:val="bottom"/>
            <w:hideMark/>
          </w:tcPr>
          <w:p w14:paraId="2E938552" w14:textId="77777777" w:rsidR="00084C74" w:rsidRPr="00084C74" w:rsidRDefault="00084C74" w:rsidP="00084C74">
            <w:pPr>
              <w:widowControl/>
              <w:suppressAutoHyphens w:val="0"/>
              <w:autoSpaceDE/>
              <w:spacing w:after="0" w:line="240" w:lineRule="auto"/>
              <w:ind w:firstLine="0"/>
              <w:jc w:val="right"/>
              <w:rPr>
                <w:rFonts w:ascii="Calibri" w:hAnsi="Calibri" w:cs="Calibri"/>
                <w:color w:val="000000"/>
                <w:szCs w:val="24"/>
                <w:lang w:eastAsia="cs-CZ"/>
              </w:rPr>
            </w:pPr>
            <w:r w:rsidRPr="00084C74">
              <w:rPr>
                <w:rFonts w:ascii="Calibri" w:hAnsi="Calibri" w:cs="Calibri"/>
                <w:color w:val="000000"/>
                <w:szCs w:val="24"/>
                <w:lang w:eastAsia="cs-CZ"/>
              </w:rPr>
              <w:t>230</w:t>
            </w:r>
          </w:p>
        </w:tc>
        <w:tc>
          <w:tcPr>
            <w:tcW w:w="1114" w:type="dxa"/>
            <w:tcBorders>
              <w:top w:val="nil"/>
              <w:left w:val="nil"/>
              <w:bottom w:val="nil"/>
              <w:right w:val="nil"/>
            </w:tcBorders>
            <w:shd w:val="clear" w:color="auto" w:fill="auto"/>
            <w:noWrap/>
            <w:vAlign w:val="bottom"/>
            <w:hideMark/>
          </w:tcPr>
          <w:p w14:paraId="6C6E69FD"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V</w:t>
            </w:r>
          </w:p>
        </w:tc>
        <w:tc>
          <w:tcPr>
            <w:tcW w:w="960" w:type="dxa"/>
            <w:tcBorders>
              <w:top w:val="nil"/>
              <w:left w:val="nil"/>
              <w:bottom w:val="nil"/>
              <w:right w:val="nil"/>
            </w:tcBorders>
            <w:shd w:val="clear" w:color="auto" w:fill="auto"/>
            <w:noWrap/>
            <w:vAlign w:val="bottom"/>
            <w:hideMark/>
          </w:tcPr>
          <w:p w14:paraId="62E4F406"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r>
      <w:tr w:rsidR="00084C74" w:rsidRPr="00084C74" w14:paraId="3CEFDBB2" w14:textId="77777777" w:rsidTr="00084C74">
        <w:trPr>
          <w:trHeight w:val="315"/>
        </w:trPr>
        <w:tc>
          <w:tcPr>
            <w:tcW w:w="4893" w:type="dxa"/>
            <w:gridSpan w:val="5"/>
            <w:tcBorders>
              <w:top w:val="nil"/>
              <w:left w:val="nil"/>
              <w:bottom w:val="nil"/>
              <w:right w:val="nil"/>
            </w:tcBorders>
            <w:shd w:val="clear" w:color="auto" w:fill="auto"/>
            <w:noWrap/>
            <w:vAlign w:val="bottom"/>
            <w:hideMark/>
          </w:tcPr>
          <w:p w14:paraId="370BBC1B"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Hladina akustického tlaku v prostoru umístění:</w:t>
            </w:r>
          </w:p>
        </w:tc>
        <w:tc>
          <w:tcPr>
            <w:tcW w:w="905" w:type="dxa"/>
            <w:tcBorders>
              <w:top w:val="nil"/>
              <w:left w:val="nil"/>
              <w:bottom w:val="nil"/>
              <w:right w:val="nil"/>
            </w:tcBorders>
            <w:shd w:val="clear" w:color="auto" w:fill="auto"/>
            <w:noWrap/>
            <w:vAlign w:val="bottom"/>
            <w:hideMark/>
          </w:tcPr>
          <w:p w14:paraId="583C22D0" w14:textId="77777777" w:rsidR="00084C74" w:rsidRPr="00084C74" w:rsidRDefault="00084C74" w:rsidP="00084C74">
            <w:pPr>
              <w:widowControl/>
              <w:suppressAutoHyphens w:val="0"/>
              <w:autoSpaceDE/>
              <w:spacing w:after="0" w:line="240" w:lineRule="auto"/>
              <w:ind w:firstLine="0"/>
              <w:jc w:val="right"/>
              <w:rPr>
                <w:rFonts w:ascii="Calibri" w:hAnsi="Calibri" w:cs="Calibri"/>
                <w:color w:val="000000"/>
                <w:szCs w:val="24"/>
                <w:lang w:eastAsia="cs-CZ"/>
              </w:rPr>
            </w:pPr>
            <w:r w:rsidRPr="00084C74">
              <w:rPr>
                <w:rFonts w:ascii="Calibri" w:hAnsi="Calibri" w:cs="Calibri"/>
                <w:color w:val="000000"/>
                <w:szCs w:val="24"/>
                <w:lang w:eastAsia="cs-CZ"/>
              </w:rPr>
              <w:t>72</w:t>
            </w:r>
          </w:p>
        </w:tc>
        <w:tc>
          <w:tcPr>
            <w:tcW w:w="1114" w:type="dxa"/>
            <w:tcBorders>
              <w:top w:val="nil"/>
              <w:left w:val="nil"/>
              <w:bottom w:val="nil"/>
              <w:right w:val="nil"/>
            </w:tcBorders>
            <w:shd w:val="clear" w:color="auto" w:fill="auto"/>
            <w:noWrap/>
            <w:vAlign w:val="bottom"/>
            <w:hideMark/>
          </w:tcPr>
          <w:p w14:paraId="16105896"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dB(A)</w:t>
            </w:r>
          </w:p>
        </w:tc>
        <w:tc>
          <w:tcPr>
            <w:tcW w:w="960" w:type="dxa"/>
            <w:tcBorders>
              <w:top w:val="nil"/>
              <w:left w:val="nil"/>
              <w:bottom w:val="nil"/>
              <w:right w:val="nil"/>
            </w:tcBorders>
            <w:shd w:val="clear" w:color="auto" w:fill="auto"/>
            <w:noWrap/>
            <w:vAlign w:val="bottom"/>
            <w:hideMark/>
          </w:tcPr>
          <w:p w14:paraId="0C232FDD"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r>
      <w:tr w:rsidR="00084C74" w:rsidRPr="00084C74" w14:paraId="3AA651DA" w14:textId="77777777" w:rsidTr="00084C74">
        <w:trPr>
          <w:trHeight w:val="315"/>
        </w:trPr>
        <w:tc>
          <w:tcPr>
            <w:tcW w:w="4893" w:type="dxa"/>
            <w:gridSpan w:val="5"/>
            <w:tcBorders>
              <w:top w:val="nil"/>
              <w:left w:val="nil"/>
              <w:bottom w:val="nil"/>
              <w:right w:val="nil"/>
            </w:tcBorders>
            <w:shd w:val="clear" w:color="auto" w:fill="auto"/>
            <w:noWrap/>
            <w:vAlign w:val="bottom"/>
            <w:hideMark/>
          </w:tcPr>
          <w:p w14:paraId="58CC0E29"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Hladina akustického tlaku na straně spalin:</w:t>
            </w:r>
          </w:p>
        </w:tc>
        <w:tc>
          <w:tcPr>
            <w:tcW w:w="905" w:type="dxa"/>
            <w:tcBorders>
              <w:top w:val="nil"/>
              <w:left w:val="nil"/>
              <w:bottom w:val="nil"/>
              <w:right w:val="nil"/>
            </w:tcBorders>
            <w:shd w:val="clear" w:color="auto" w:fill="auto"/>
            <w:noWrap/>
            <w:vAlign w:val="bottom"/>
            <w:hideMark/>
          </w:tcPr>
          <w:p w14:paraId="27481436" w14:textId="77777777" w:rsidR="00084C74" w:rsidRPr="00084C74" w:rsidRDefault="00084C74" w:rsidP="00084C74">
            <w:pPr>
              <w:widowControl/>
              <w:suppressAutoHyphens w:val="0"/>
              <w:autoSpaceDE/>
              <w:spacing w:after="0" w:line="240" w:lineRule="auto"/>
              <w:ind w:firstLine="0"/>
              <w:jc w:val="right"/>
              <w:rPr>
                <w:rFonts w:ascii="Calibri" w:hAnsi="Calibri" w:cs="Calibri"/>
                <w:color w:val="000000"/>
                <w:szCs w:val="24"/>
                <w:lang w:eastAsia="cs-CZ"/>
              </w:rPr>
            </w:pPr>
            <w:r w:rsidRPr="00084C74">
              <w:rPr>
                <w:rFonts w:ascii="Calibri" w:hAnsi="Calibri" w:cs="Calibri"/>
                <w:color w:val="000000"/>
                <w:szCs w:val="24"/>
                <w:lang w:eastAsia="cs-CZ"/>
              </w:rPr>
              <w:t>58</w:t>
            </w:r>
          </w:p>
        </w:tc>
        <w:tc>
          <w:tcPr>
            <w:tcW w:w="1114" w:type="dxa"/>
            <w:tcBorders>
              <w:top w:val="nil"/>
              <w:left w:val="nil"/>
              <w:bottom w:val="nil"/>
              <w:right w:val="nil"/>
            </w:tcBorders>
            <w:shd w:val="clear" w:color="auto" w:fill="auto"/>
            <w:noWrap/>
            <w:vAlign w:val="bottom"/>
            <w:hideMark/>
          </w:tcPr>
          <w:p w14:paraId="133C22E1"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dB(A)</w:t>
            </w:r>
          </w:p>
        </w:tc>
        <w:tc>
          <w:tcPr>
            <w:tcW w:w="960" w:type="dxa"/>
            <w:tcBorders>
              <w:top w:val="nil"/>
              <w:left w:val="nil"/>
              <w:bottom w:val="nil"/>
              <w:right w:val="nil"/>
            </w:tcBorders>
            <w:shd w:val="clear" w:color="auto" w:fill="auto"/>
            <w:noWrap/>
            <w:vAlign w:val="bottom"/>
            <w:hideMark/>
          </w:tcPr>
          <w:p w14:paraId="0512BB41"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r>
      <w:tr w:rsidR="00084C74" w:rsidRPr="00084C74" w14:paraId="41694BBB" w14:textId="77777777" w:rsidTr="00084C74">
        <w:trPr>
          <w:trHeight w:val="315"/>
        </w:trPr>
        <w:tc>
          <w:tcPr>
            <w:tcW w:w="963" w:type="dxa"/>
            <w:tcBorders>
              <w:top w:val="nil"/>
              <w:left w:val="nil"/>
              <w:bottom w:val="nil"/>
              <w:right w:val="nil"/>
            </w:tcBorders>
            <w:shd w:val="clear" w:color="auto" w:fill="auto"/>
            <w:noWrap/>
            <w:vAlign w:val="bottom"/>
            <w:hideMark/>
          </w:tcPr>
          <w:p w14:paraId="199EFC9A"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63" w:type="dxa"/>
            <w:tcBorders>
              <w:top w:val="nil"/>
              <w:left w:val="nil"/>
              <w:bottom w:val="nil"/>
              <w:right w:val="nil"/>
            </w:tcBorders>
            <w:shd w:val="clear" w:color="auto" w:fill="auto"/>
            <w:noWrap/>
            <w:vAlign w:val="bottom"/>
            <w:hideMark/>
          </w:tcPr>
          <w:p w14:paraId="034D62B6"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63" w:type="dxa"/>
            <w:tcBorders>
              <w:top w:val="nil"/>
              <w:left w:val="nil"/>
              <w:bottom w:val="nil"/>
              <w:right w:val="nil"/>
            </w:tcBorders>
            <w:shd w:val="clear" w:color="auto" w:fill="auto"/>
            <w:noWrap/>
            <w:vAlign w:val="bottom"/>
            <w:hideMark/>
          </w:tcPr>
          <w:p w14:paraId="4AD08D86"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63" w:type="dxa"/>
            <w:tcBorders>
              <w:top w:val="nil"/>
              <w:left w:val="nil"/>
              <w:bottom w:val="nil"/>
              <w:right w:val="nil"/>
            </w:tcBorders>
            <w:shd w:val="clear" w:color="auto" w:fill="auto"/>
            <w:noWrap/>
            <w:vAlign w:val="bottom"/>
            <w:hideMark/>
          </w:tcPr>
          <w:p w14:paraId="3DD22A5E"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1041" w:type="dxa"/>
            <w:tcBorders>
              <w:top w:val="nil"/>
              <w:left w:val="nil"/>
              <w:bottom w:val="nil"/>
              <w:right w:val="nil"/>
            </w:tcBorders>
            <w:shd w:val="clear" w:color="auto" w:fill="auto"/>
            <w:noWrap/>
            <w:vAlign w:val="bottom"/>
            <w:hideMark/>
          </w:tcPr>
          <w:p w14:paraId="42B03D14"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05" w:type="dxa"/>
            <w:tcBorders>
              <w:top w:val="nil"/>
              <w:left w:val="nil"/>
              <w:bottom w:val="nil"/>
              <w:right w:val="nil"/>
            </w:tcBorders>
            <w:shd w:val="clear" w:color="auto" w:fill="auto"/>
            <w:noWrap/>
            <w:vAlign w:val="bottom"/>
            <w:hideMark/>
          </w:tcPr>
          <w:p w14:paraId="7E23F570"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1114" w:type="dxa"/>
            <w:tcBorders>
              <w:top w:val="nil"/>
              <w:left w:val="nil"/>
              <w:bottom w:val="nil"/>
              <w:right w:val="nil"/>
            </w:tcBorders>
            <w:shd w:val="clear" w:color="auto" w:fill="auto"/>
            <w:noWrap/>
            <w:vAlign w:val="bottom"/>
            <w:hideMark/>
          </w:tcPr>
          <w:p w14:paraId="448BCD56"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60" w:type="dxa"/>
            <w:tcBorders>
              <w:top w:val="nil"/>
              <w:left w:val="nil"/>
              <w:bottom w:val="nil"/>
              <w:right w:val="nil"/>
            </w:tcBorders>
            <w:shd w:val="clear" w:color="auto" w:fill="auto"/>
            <w:noWrap/>
            <w:vAlign w:val="bottom"/>
            <w:hideMark/>
          </w:tcPr>
          <w:p w14:paraId="42513BA0"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r>
      <w:tr w:rsidR="00084C74" w:rsidRPr="00084C74" w14:paraId="7AEAB4EA" w14:textId="77777777" w:rsidTr="00084C74">
        <w:trPr>
          <w:trHeight w:val="315"/>
        </w:trPr>
        <w:tc>
          <w:tcPr>
            <w:tcW w:w="3852" w:type="dxa"/>
            <w:gridSpan w:val="4"/>
            <w:tcBorders>
              <w:top w:val="nil"/>
              <w:left w:val="nil"/>
              <w:bottom w:val="nil"/>
              <w:right w:val="nil"/>
            </w:tcBorders>
            <w:shd w:val="clear" w:color="auto" w:fill="auto"/>
            <w:noWrap/>
            <w:vAlign w:val="bottom"/>
            <w:hideMark/>
          </w:tcPr>
          <w:p w14:paraId="7F8B2045"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Teplota spalin, max / min výkon:</w:t>
            </w:r>
          </w:p>
        </w:tc>
        <w:tc>
          <w:tcPr>
            <w:tcW w:w="1041" w:type="dxa"/>
            <w:tcBorders>
              <w:top w:val="nil"/>
              <w:left w:val="nil"/>
              <w:bottom w:val="nil"/>
              <w:right w:val="nil"/>
            </w:tcBorders>
            <w:shd w:val="clear" w:color="auto" w:fill="auto"/>
            <w:noWrap/>
            <w:vAlign w:val="bottom"/>
            <w:hideMark/>
          </w:tcPr>
          <w:p w14:paraId="1761E105"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c>
          <w:tcPr>
            <w:tcW w:w="905" w:type="dxa"/>
            <w:tcBorders>
              <w:top w:val="nil"/>
              <w:left w:val="nil"/>
              <w:bottom w:val="nil"/>
              <w:right w:val="nil"/>
            </w:tcBorders>
            <w:shd w:val="clear" w:color="auto" w:fill="auto"/>
            <w:noWrap/>
            <w:vAlign w:val="bottom"/>
            <w:hideMark/>
          </w:tcPr>
          <w:p w14:paraId="21022A4D" w14:textId="77777777" w:rsidR="00084C74" w:rsidRPr="00084C74" w:rsidRDefault="00084C74" w:rsidP="00084C74">
            <w:pPr>
              <w:widowControl/>
              <w:suppressAutoHyphens w:val="0"/>
              <w:autoSpaceDE/>
              <w:spacing w:after="0" w:line="240" w:lineRule="auto"/>
              <w:ind w:firstLine="0"/>
              <w:jc w:val="right"/>
              <w:rPr>
                <w:rFonts w:ascii="Calibri" w:hAnsi="Calibri" w:cs="Calibri"/>
                <w:color w:val="000000"/>
                <w:szCs w:val="24"/>
                <w:lang w:eastAsia="cs-CZ"/>
              </w:rPr>
            </w:pPr>
            <w:r w:rsidRPr="00084C74">
              <w:rPr>
                <w:rFonts w:ascii="Calibri" w:hAnsi="Calibri" w:cs="Calibri"/>
                <w:color w:val="000000"/>
                <w:szCs w:val="24"/>
                <w:lang w:eastAsia="cs-CZ"/>
              </w:rPr>
              <w:t>46-70</w:t>
            </w:r>
          </w:p>
        </w:tc>
        <w:tc>
          <w:tcPr>
            <w:tcW w:w="1114" w:type="dxa"/>
            <w:tcBorders>
              <w:top w:val="nil"/>
              <w:left w:val="nil"/>
              <w:bottom w:val="nil"/>
              <w:right w:val="nil"/>
            </w:tcBorders>
            <w:shd w:val="clear" w:color="auto" w:fill="auto"/>
            <w:noWrap/>
            <w:vAlign w:val="bottom"/>
            <w:hideMark/>
          </w:tcPr>
          <w:p w14:paraId="6B1D8943"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°C</w:t>
            </w:r>
          </w:p>
        </w:tc>
        <w:tc>
          <w:tcPr>
            <w:tcW w:w="960" w:type="dxa"/>
            <w:tcBorders>
              <w:top w:val="nil"/>
              <w:left w:val="nil"/>
              <w:bottom w:val="nil"/>
              <w:right w:val="nil"/>
            </w:tcBorders>
            <w:shd w:val="clear" w:color="auto" w:fill="auto"/>
            <w:noWrap/>
            <w:vAlign w:val="bottom"/>
            <w:hideMark/>
          </w:tcPr>
          <w:p w14:paraId="6727BF81"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r>
      <w:tr w:rsidR="00084C74" w:rsidRPr="00084C74" w14:paraId="5DBA4B6B" w14:textId="77777777" w:rsidTr="00084C74">
        <w:trPr>
          <w:trHeight w:val="315"/>
        </w:trPr>
        <w:tc>
          <w:tcPr>
            <w:tcW w:w="3852" w:type="dxa"/>
            <w:gridSpan w:val="4"/>
            <w:tcBorders>
              <w:top w:val="nil"/>
              <w:left w:val="nil"/>
              <w:bottom w:val="nil"/>
              <w:right w:val="nil"/>
            </w:tcBorders>
            <w:shd w:val="clear" w:color="auto" w:fill="auto"/>
            <w:noWrap/>
            <w:vAlign w:val="bottom"/>
            <w:hideMark/>
          </w:tcPr>
          <w:p w14:paraId="192B7B48"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Hmotnostní tok spalin při max, výkonu:</w:t>
            </w:r>
          </w:p>
        </w:tc>
        <w:tc>
          <w:tcPr>
            <w:tcW w:w="1041" w:type="dxa"/>
            <w:tcBorders>
              <w:top w:val="nil"/>
              <w:left w:val="nil"/>
              <w:bottom w:val="nil"/>
              <w:right w:val="nil"/>
            </w:tcBorders>
            <w:shd w:val="clear" w:color="auto" w:fill="auto"/>
            <w:noWrap/>
            <w:vAlign w:val="bottom"/>
            <w:hideMark/>
          </w:tcPr>
          <w:p w14:paraId="34253FD1"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c>
          <w:tcPr>
            <w:tcW w:w="905" w:type="dxa"/>
            <w:tcBorders>
              <w:top w:val="nil"/>
              <w:left w:val="nil"/>
              <w:bottom w:val="nil"/>
              <w:right w:val="nil"/>
            </w:tcBorders>
            <w:shd w:val="clear" w:color="auto" w:fill="auto"/>
            <w:noWrap/>
            <w:vAlign w:val="bottom"/>
            <w:hideMark/>
          </w:tcPr>
          <w:p w14:paraId="140DF36B" w14:textId="77777777" w:rsidR="00084C74" w:rsidRPr="00084C74" w:rsidRDefault="00084C74" w:rsidP="00084C74">
            <w:pPr>
              <w:widowControl/>
              <w:suppressAutoHyphens w:val="0"/>
              <w:autoSpaceDE/>
              <w:spacing w:after="0" w:line="240" w:lineRule="auto"/>
              <w:ind w:firstLine="0"/>
              <w:jc w:val="right"/>
              <w:rPr>
                <w:rFonts w:ascii="Calibri" w:hAnsi="Calibri" w:cs="Calibri"/>
                <w:color w:val="000000"/>
                <w:szCs w:val="24"/>
                <w:lang w:eastAsia="cs-CZ"/>
              </w:rPr>
            </w:pPr>
            <w:r w:rsidRPr="00084C74">
              <w:rPr>
                <w:rFonts w:ascii="Calibri" w:hAnsi="Calibri" w:cs="Calibri"/>
                <w:color w:val="000000"/>
                <w:szCs w:val="24"/>
                <w:lang w:eastAsia="cs-CZ"/>
              </w:rPr>
              <w:t>624</w:t>
            </w:r>
          </w:p>
        </w:tc>
        <w:tc>
          <w:tcPr>
            <w:tcW w:w="1114" w:type="dxa"/>
            <w:tcBorders>
              <w:top w:val="nil"/>
              <w:left w:val="nil"/>
              <w:bottom w:val="nil"/>
              <w:right w:val="nil"/>
            </w:tcBorders>
            <w:shd w:val="clear" w:color="auto" w:fill="auto"/>
            <w:noWrap/>
            <w:vAlign w:val="bottom"/>
            <w:hideMark/>
          </w:tcPr>
          <w:p w14:paraId="76401613"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kg/h</w:t>
            </w:r>
          </w:p>
        </w:tc>
        <w:tc>
          <w:tcPr>
            <w:tcW w:w="960" w:type="dxa"/>
            <w:tcBorders>
              <w:top w:val="nil"/>
              <w:left w:val="nil"/>
              <w:bottom w:val="nil"/>
              <w:right w:val="nil"/>
            </w:tcBorders>
            <w:shd w:val="clear" w:color="auto" w:fill="auto"/>
            <w:noWrap/>
            <w:vAlign w:val="bottom"/>
            <w:hideMark/>
          </w:tcPr>
          <w:p w14:paraId="139BDEAD"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r>
      <w:tr w:rsidR="00084C74" w:rsidRPr="00084C74" w14:paraId="0ACC40BA" w14:textId="77777777" w:rsidTr="00084C74">
        <w:trPr>
          <w:trHeight w:val="315"/>
        </w:trPr>
        <w:tc>
          <w:tcPr>
            <w:tcW w:w="3852" w:type="dxa"/>
            <w:gridSpan w:val="4"/>
            <w:tcBorders>
              <w:top w:val="nil"/>
              <w:left w:val="nil"/>
              <w:bottom w:val="nil"/>
              <w:right w:val="nil"/>
            </w:tcBorders>
            <w:shd w:val="clear" w:color="auto" w:fill="auto"/>
            <w:noWrap/>
            <w:vAlign w:val="bottom"/>
            <w:hideMark/>
          </w:tcPr>
          <w:p w14:paraId="4EEC2708"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Normovaný emisní faktor NOx:</w:t>
            </w:r>
          </w:p>
        </w:tc>
        <w:tc>
          <w:tcPr>
            <w:tcW w:w="1041" w:type="dxa"/>
            <w:tcBorders>
              <w:top w:val="nil"/>
              <w:left w:val="nil"/>
              <w:bottom w:val="nil"/>
              <w:right w:val="nil"/>
            </w:tcBorders>
            <w:shd w:val="clear" w:color="auto" w:fill="auto"/>
            <w:noWrap/>
            <w:vAlign w:val="bottom"/>
            <w:hideMark/>
          </w:tcPr>
          <w:p w14:paraId="54A22B9B"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c>
          <w:tcPr>
            <w:tcW w:w="905" w:type="dxa"/>
            <w:tcBorders>
              <w:top w:val="nil"/>
              <w:left w:val="nil"/>
              <w:bottom w:val="nil"/>
              <w:right w:val="nil"/>
            </w:tcBorders>
            <w:shd w:val="clear" w:color="auto" w:fill="auto"/>
            <w:noWrap/>
            <w:vAlign w:val="bottom"/>
            <w:hideMark/>
          </w:tcPr>
          <w:p w14:paraId="6C6FC102" w14:textId="77777777" w:rsidR="00084C74" w:rsidRPr="00084C74" w:rsidRDefault="00084C74" w:rsidP="00084C74">
            <w:pPr>
              <w:widowControl/>
              <w:suppressAutoHyphens w:val="0"/>
              <w:autoSpaceDE/>
              <w:spacing w:after="0" w:line="240" w:lineRule="auto"/>
              <w:ind w:firstLine="0"/>
              <w:jc w:val="right"/>
              <w:rPr>
                <w:rFonts w:ascii="Calibri" w:hAnsi="Calibri" w:cs="Calibri"/>
                <w:color w:val="000000"/>
                <w:szCs w:val="24"/>
                <w:lang w:eastAsia="cs-CZ"/>
              </w:rPr>
            </w:pPr>
            <w:r w:rsidRPr="00084C74">
              <w:rPr>
                <w:rFonts w:ascii="Calibri" w:hAnsi="Calibri" w:cs="Calibri"/>
                <w:color w:val="000000"/>
                <w:szCs w:val="24"/>
                <w:lang w:eastAsia="cs-CZ"/>
              </w:rPr>
              <w:t>39</w:t>
            </w:r>
          </w:p>
        </w:tc>
        <w:tc>
          <w:tcPr>
            <w:tcW w:w="1114" w:type="dxa"/>
            <w:tcBorders>
              <w:top w:val="nil"/>
              <w:left w:val="nil"/>
              <w:bottom w:val="nil"/>
              <w:right w:val="nil"/>
            </w:tcBorders>
            <w:shd w:val="clear" w:color="auto" w:fill="auto"/>
            <w:noWrap/>
            <w:vAlign w:val="bottom"/>
            <w:hideMark/>
          </w:tcPr>
          <w:p w14:paraId="164C528E"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mg/kWh</w:t>
            </w:r>
          </w:p>
        </w:tc>
        <w:tc>
          <w:tcPr>
            <w:tcW w:w="960" w:type="dxa"/>
            <w:tcBorders>
              <w:top w:val="nil"/>
              <w:left w:val="nil"/>
              <w:bottom w:val="nil"/>
              <w:right w:val="nil"/>
            </w:tcBorders>
            <w:shd w:val="clear" w:color="auto" w:fill="auto"/>
            <w:noWrap/>
            <w:vAlign w:val="bottom"/>
            <w:hideMark/>
          </w:tcPr>
          <w:p w14:paraId="0907C990"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r>
      <w:tr w:rsidR="00084C74" w:rsidRPr="00084C74" w14:paraId="57DF5013" w14:textId="77777777" w:rsidTr="00084C74">
        <w:trPr>
          <w:trHeight w:val="315"/>
        </w:trPr>
        <w:tc>
          <w:tcPr>
            <w:tcW w:w="4893" w:type="dxa"/>
            <w:gridSpan w:val="5"/>
            <w:tcBorders>
              <w:top w:val="nil"/>
              <w:left w:val="nil"/>
              <w:bottom w:val="nil"/>
              <w:right w:val="nil"/>
            </w:tcBorders>
            <w:shd w:val="clear" w:color="auto" w:fill="auto"/>
            <w:noWrap/>
            <w:vAlign w:val="bottom"/>
            <w:hideMark/>
          </w:tcPr>
          <w:p w14:paraId="58DBE7E0"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CO2 při max. jmenovitém výkonu vytápění:</w:t>
            </w:r>
          </w:p>
        </w:tc>
        <w:tc>
          <w:tcPr>
            <w:tcW w:w="905" w:type="dxa"/>
            <w:tcBorders>
              <w:top w:val="nil"/>
              <w:left w:val="nil"/>
              <w:bottom w:val="nil"/>
              <w:right w:val="nil"/>
            </w:tcBorders>
            <w:shd w:val="clear" w:color="auto" w:fill="auto"/>
            <w:noWrap/>
            <w:vAlign w:val="bottom"/>
            <w:hideMark/>
          </w:tcPr>
          <w:p w14:paraId="075B6115" w14:textId="77777777" w:rsidR="00084C74" w:rsidRPr="00084C74" w:rsidRDefault="00084C74" w:rsidP="00084C74">
            <w:pPr>
              <w:widowControl/>
              <w:suppressAutoHyphens w:val="0"/>
              <w:autoSpaceDE/>
              <w:spacing w:after="0" w:line="240" w:lineRule="auto"/>
              <w:ind w:firstLine="0"/>
              <w:jc w:val="right"/>
              <w:rPr>
                <w:rFonts w:ascii="Calibri" w:hAnsi="Calibri" w:cs="Calibri"/>
                <w:color w:val="000000"/>
                <w:szCs w:val="24"/>
                <w:lang w:eastAsia="cs-CZ"/>
              </w:rPr>
            </w:pPr>
            <w:r w:rsidRPr="00084C74">
              <w:rPr>
                <w:rFonts w:ascii="Calibri" w:hAnsi="Calibri" w:cs="Calibri"/>
                <w:color w:val="000000"/>
                <w:szCs w:val="24"/>
                <w:lang w:eastAsia="cs-CZ"/>
              </w:rPr>
              <w:t>9,0</w:t>
            </w:r>
          </w:p>
        </w:tc>
        <w:tc>
          <w:tcPr>
            <w:tcW w:w="1114" w:type="dxa"/>
            <w:tcBorders>
              <w:top w:val="nil"/>
              <w:left w:val="nil"/>
              <w:bottom w:val="nil"/>
              <w:right w:val="nil"/>
            </w:tcBorders>
            <w:shd w:val="clear" w:color="auto" w:fill="auto"/>
            <w:noWrap/>
            <w:vAlign w:val="bottom"/>
            <w:hideMark/>
          </w:tcPr>
          <w:p w14:paraId="57A81AE6"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w:t>
            </w:r>
          </w:p>
        </w:tc>
        <w:tc>
          <w:tcPr>
            <w:tcW w:w="960" w:type="dxa"/>
            <w:tcBorders>
              <w:top w:val="nil"/>
              <w:left w:val="nil"/>
              <w:bottom w:val="nil"/>
              <w:right w:val="nil"/>
            </w:tcBorders>
            <w:shd w:val="clear" w:color="auto" w:fill="auto"/>
            <w:noWrap/>
            <w:vAlign w:val="bottom"/>
            <w:hideMark/>
          </w:tcPr>
          <w:p w14:paraId="671CD334"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r>
      <w:tr w:rsidR="00084C74" w:rsidRPr="00084C74" w14:paraId="1ABA8D96" w14:textId="77777777" w:rsidTr="00084C74">
        <w:trPr>
          <w:trHeight w:val="315"/>
        </w:trPr>
        <w:tc>
          <w:tcPr>
            <w:tcW w:w="1926" w:type="dxa"/>
            <w:gridSpan w:val="2"/>
            <w:tcBorders>
              <w:top w:val="nil"/>
              <w:left w:val="nil"/>
              <w:bottom w:val="nil"/>
              <w:right w:val="nil"/>
            </w:tcBorders>
            <w:shd w:val="clear" w:color="auto" w:fill="auto"/>
            <w:noWrap/>
            <w:vAlign w:val="bottom"/>
            <w:hideMark/>
          </w:tcPr>
          <w:p w14:paraId="2D0FCF1B" w14:textId="1E1F53A6"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lastRenderedPageBreak/>
              <w:t>Emisní třída N</w:t>
            </w:r>
            <w:r w:rsidR="006C2E29">
              <w:rPr>
                <w:rFonts w:ascii="Calibri" w:hAnsi="Calibri" w:cs="Calibri"/>
                <w:color w:val="000000"/>
                <w:szCs w:val="24"/>
                <w:lang w:eastAsia="cs-CZ"/>
              </w:rPr>
              <w:t>O</w:t>
            </w:r>
            <w:r w:rsidRPr="006C2E29">
              <w:rPr>
                <w:rFonts w:ascii="Calibri" w:hAnsi="Calibri" w:cs="Calibri"/>
                <w:color w:val="000000"/>
                <w:szCs w:val="24"/>
                <w:vertAlign w:val="subscript"/>
                <w:lang w:eastAsia="cs-CZ"/>
              </w:rPr>
              <w:t>x</w:t>
            </w:r>
            <w:r w:rsidRPr="00084C74">
              <w:rPr>
                <w:rFonts w:ascii="Calibri" w:hAnsi="Calibri" w:cs="Calibri"/>
                <w:color w:val="000000"/>
                <w:szCs w:val="24"/>
                <w:lang w:eastAsia="cs-CZ"/>
              </w:rPr>
              <w:t>:</w:t>
            </w:r>
          </w:p>
        </w:tc>
        <w:tc>
          <w:tcPr>
            <w:tcW w:w="963" w:type="dxa"/>
            <w:tcBorders>
              <w:top w:val="nil"/>
              <w:left w:val="nil"/>
              <w:bottom w:val="nil"/>
              <w:right w:val="nil"/>
            </w:tcBorders>
            <w:shd w:val="clear" w:color="auto" w:fill="auto"/>
            <w:noWrap/>
            <w:vAlign w:val="bottom"/>
            <w:hideMark/>
          </w:tcPr>
          <w:p w14:paraId="52890F5B"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c>
          <w:tcPr>
            <w:tcW w:w="963" w:type="dxa"/>
            <w:tcBorders>
              <w:top w:val="nil"/>
              <w:left w:val="nil"/>
              <w:bottom w:val="nil"/>
              <w:right w:val="nil"/>
            </w:tcBorders>
            <w:shd w:val="clear" w:color="auto" w:fill="auto"/>
            <w:noWrap/>
            <w:vAlign w:val="bottom"/>
            <w:hideMark/>
          </w:tcPr>
          <w:p w14:paraId="6F1EFA03"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1041" w:type="dxa"/>
            <w:tcBorders>
              <w:top w:val="nil"/>
              <w:left w:val="nil"/>
              <w:bottom w:val="nil"/>
              <w:right w:val="nil"/>
            </w:tcBorders>
            <w:shd w:val="clear" w:color="auto" w:fill="auto"/>
            <w:noWrap/>
            <w:vAlign w:val="bottom"/>
            <w:hideMark/>
          </w:tcPr>
          <w:p w14:paraId="126A2AC5"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05" w:type="dxa"/>
            <w:tcBorders>
              <w:top w:val="nil"/>
              <w:left w:val="nil"/>
              <w:bottom w:val="nil"/>
              <w:right w:val="nil"/>
            </w:tcBorders>
            <w:shd w:val="clear" w:color="auto" w:fill="auto"/>
            <w:noWrap/>
            <w:vAlign w:val="bottom"/>
            <w:hideMark/>
          </w:tcPr>
          <w:p w14:paraId="0DF78DC7" w14:textId="77777777" w:rsidR="00084C74" w:rsidRPr="00084C74" w:rsidRDefault="00084C74" w:rsidP="00084C74">
            <w:pPr>
              <w:widowControl/>
              <w:suppressAutoHyphens w:val="0"/>
              <w:autoSpaceDE/>
              <w:spacing w:after="0" w:line="240" w:lineRule="auto"/>
              <w:ind w:firstLine="0"/>
              <w:jc w:val="right"/>
              <w:rPr>
                <w:rFonts w:ascii="Calibri" w:hAnsi="Calibri" w:cs="Calibri"/>
                <w:color w:val="000000"/>
                <w:szCs w:val="24"/>
                <w:lang w:eastAsia="cs-CZ"/>
              </w:rPr>
            </w:pPr>
            <w:r w:rsidRPr="00084C74">
              <w:rPr>
                <w:rFonts w:ascii="Calibri" w:hAnsi="Calibri" w:cs="Calibri"/>
                <w:color w:val="000000"/>
                <w:szCs w:val="24"/>
                <w:lang w:eastAsia="cs-CZ"/>
              </w:rPr>
              <w:t>6</w:t>
            </w:r>
          </w:p>
        </w:tc>
        <w:tc>
          <w:tcPr>
            <w:tcW w:w="1114" w:type="dxa"/>
            <w:tcBorders>
              <w:top w:val="nil"/>
              <w:left w:val="nil"/>
              <w:bottom w:val="nil"/>
              <w:right w:val="nil"/>
            </w:tcBorders>
            <w:shd w:val="clear" w:color="auto" w:fill="auto"/>
            <w:noWrap/>
            <w:vAlign w:val="bottom"/>
            <w:hideMark/>
          </w:tcPr>
          <w:p w14:paraId="6D06C656" w14:textId="77777777" w:rsidR="00084C74" w:rsidRPr="00084C74" w:rsidRDefault="00084C74" w:rsidP="00084C74">
            <w:pPr>
              <w:widowControl/>
              <w:suppressAutoHyphens w:val="0"/>
              <w:autoSpaceDE/>
              <w:spacing w:after="0" w:line="240" w:lineRule="auto"/>
              <w:ind w:firstLine="0"/>
              <w:jc w:val="right"/>
              <w:rPr>
                <w:rFonts w:ascii="Calibri" w:hAnsi="Calibri" w:cs="Calibri"/>
                <w:color w:val="000000"/>
                <w:szCs w:val="24"/>
                <w:lang w:eastAsia="cs-CZ"/>
              </w:rPr>
            </w:pPr>
          </w:p>
        </w:tc>
        <w:tc>
          <w:tcPr>
            <w:tcW w:w="960" w:type="dxa"/>
            <w:tcBorders>
              <w:top w:val="nil"/>
              <w:left w:val="nil"/>
              <w:bottom w:val="nil"/>
              <w:right w:val="nil"/>
            </w:tcBorders>
            <w:shd w:val="clear" w:color="auto" w:fill="auto"/>
            <w:noWrap/>
            <w:vAlign w:val="bottom"/>
            <w:hideMark/>
          </w:tcPr>
          <w:p w14:paraId="37F3B02D"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r>
      <w:tr w:rsidR="00084C74" w:rsidRPr="00084C74" w14:paraId="071740F3" w14:textId="77777777" w:rsidTr="00084C74">
        <w:trPr>
          <w:trHeight w:val="315"/>
        </w:trPr>
        <w:tc>
          <w:tcPr>
            <w:tcW w:w="963" w:type="dxa"/>
            <w:tcBorders>
              <w:top w:val="nil"/>
              <w:left w:val="nil"/>
              <w:bottom w:val="nil"/>
              <w:right w:val="nil"/>
            </w:tcBorders>
            <w:shd w:val="clear" w:color="auto" w:fill="auto"/>
            <w:noWrap/>
            <w:vAlign w:val="bottom"/>
            <w:hideMark/>
          </w:tcPr>
          <w:p w14:paraId="01D661CD"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63" w:type="dxa"/>
            <w:tcBorders>
              <w:top w:val="nil"/>
              <w:left w:val="nil"/>
              <w:bottom w:val="nil"/>
              <w:right w:val="nil"/>
            </w:tcBorders>
            <w:shd w:val="clear" w:color="auto" w:fill="auto"/>
            <w:noWrap/>
            <w:vAlign w:val="bottom"/>
            <w:hideMark/>
          </w:tcPr>
          <w:p w14:paraId="1872B2B1"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63" w:type="dxa"/>
            <w:tcBorders>
              <w:top w:val="nil"/>
              <w:left w:val="nil"/>
              <w:bottom w:val="nil"/>
              <w:right w:val="nil"/>
            </w:tcBorders>
            <w:shd w:val="clear" w:color="auto" w:fill="auto"/>
            <w:noWrap/>
            <w:vAlign w:val="bottom"/>
            <w:hideMark/>
          </w:tcPr>
          <w:p w14:paraId="033DF325"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63" w:type="dxa"/>
            <w:tcBorders>
              <w:top w:val="nil"/>
              <w:left w:val="nil"/>
              <w:bottom w:val="nil"/>
              <w:right w:val="nil"/>
            </w:tcBorders>
            <w:shd w:val="clear" w:color="auto" w:fill="auto"/>
            <w:noWrap/>
            <w:vAlign w:val="bottom"/>
            <w:hideMark/>
          </w:tcPr>
          <w:p w14:paraId="7AA57774"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1041" w:type="dxa"/>
            <w:tcBorders>
              <w:top w:val="nil"/>
              <w:left w:val="nil"/>
              <w:bottom w:val="nil"/>
              <w:right w:val="nil"/>
            </w:tcBorders>
            <w:shd w:val="clear" w:color="auto" w:fill="auto"/>
            <w:noWrap/>
            <w:vAlign w:val="bottom"/>
            <w:hideMark/>
          </w:tcPr>
          <w:p w14:paraId="38E49302"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05" w:type="dxa"/>
            <w:tcBorders>
              <w:top w:val="nil"/>
              <w:left w:val="nil"/>
              <w:bottom w:val="nil"/>
              <w:right w:val="nil"/>
            </w:tcBorders>
            <w:shd w:val="clear" w:color="auto" w:fill="auto"/>
            <w:noWrap/>
            <w:vAlign w:val="bottom"/>
            <w:hideMark/>
          </w:tcPr>
          <w:p w14:paraId="33E8737E"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1114" w:type="dxa"/>
            <w:tcBorders>
              <w:top w:val="nil"/>
              <w:left w:val="nil"/>
              <w:bottom w:val="nil"/>
              <w:right w:val="nil"/>
            </w:tcBorders>
            <w:shd w:val="clear" w:color="auto" w:fill="auto"/>
            <w:noWrap/>
            <w:vAlign w:val="bottom"/>
            <w:hideMark/>
          </w:tcPr>
          <w:p w14:paraId="77A3725A"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60" w:type="dxa"/>
            <w:tcBorders>
              <w:top w:val="nil"/>
              <w:left w:val="nil"/>
              <w:bottom w:val="nil"/>
              <w:right w:val="nil"/>
            </w:tcBorders>
            <w:shd w:val="clear" w:color="auto" w:fill="auto"/>
            <w:noWrap/>
            <w:vAlign w:val="bottom"/>
            <w:hideMark/>
          </w:tcPr>
          <w:p w14:paraId="5466CEC5"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r>
      <w:tr w:rsidR="00084C74" w:rsidRPr="00084C74" w14:paraId="0A0716FD" w14:textId="77777777" w:rsidTr="00084C74">
        <w:trPr>
          <w:trHeight w:val="315"/>
        </w:trPr>
        <w:tc>
          <w:tcPr>
            <w:tcW w:w="2889" w:type="dxa"/>
            <w:gridSpan w:val="3"/>
            <w:tcBorders>
              <w:top w:val="nil"/>
              <w:left w:val="nil"/>
              <w:bottom w:val="nil"/>
              <w:right w:val="nil"/>
            </w:tcBorders>
            <w:shd w:val="clear" w:color="auto" w:fill="auto"/>
            <w:noWrap/>
            <w:vAlign w:val="bottom"/>
            <w:hideMark/>
          </w:tcPr>
          <w:p w14:paraId="2223548A" w14:textId="3FF83707" w:rsidR="00084C74" w:rsidRPr="00084C74" w:rsidRDefault="00084C74" w:rsidP="00084C74">
            <w:pPr>
              <w:widowControl/>
              <w:suppressAutoHyphens w:val="0"/>
              <w:autoSpaceDE/>
              <w:spacing w:after="0" w:line="240" w:lineRule="auto"/>
              <w:ind w:firstLine="0"/>
              <w:jc w:val="left"/>
              <w:rPr>
                <w:rFonts w:ascii="Calibri" w:hAnsi="Calibri" w:cs="Calibri"/>
                <w:szCs w:val="24"/>
                <w:lang w:eastAsia="cs-CZ"/>
              </w:rPr>
            </w:pPr>
            <w:r w:rsidRPr="00084C74">
              <w:rPr>
                <w:rFonts w:ascii="Calibri" w:hAnsi="Calibri" w:cs="Calibri"/>
                <w:szCs w:val="24"/>
                <w:lang w:eastAsia="cs-CZ"/>
              </w:rPr>
              <w:t>Připojen</w:t>
            </w:r>
            <w:r w:rsidR="006C2E29">
              <w:rPr>
                <w:rFonts w:ascii="Calibri" w:hAnsi="Calibri" w:cs="Calibri"/>
                <w:szCs w:val="24"/>
                <w:lang w:eastAsia="cs-CZ"/>
              </w:rPr>
              <w:t>í</w:t>
            </w:r>
            <w:r w:rsidRPr="00084C74">
              <w:rPr>
                <w:rFonts w:ascii="Calibri" w:hAnsi="Calibri" w:cs="Calibri"/>
                <w:szCs w:val="24"/>
                <w:lang w:eastAsia="cs-CZ"/>
              </w:rPr>
              <w:t xml:space="preserve"> topné vody:</w:t>
            </w:r>
          </w:p>
        </w:tc>
        <w:tc>
          <w:tcPr>
            <w:tcW w:w="963" w:type="dxa"/>
            <w:tcBorders>
              <w:top w:val="nil"/>
              <w:left w:val="nil"/>
              <w:bottom w:val="nil"/>
              <w:right w:val="nil"/>
            </w:tcBorders>
            <w:shd w:val="clear" w:color="auto" w:fill="auto"/>
            <w:noWrap/>
            <w:vAlign w:val="bottom"/>
            <w:hideMark/>
          </w:tcPr>
          <w:p w14:paraId="406EF6B1" w14:textId="77777777" w:rsidR="00084C74" w:rsidRPr="00084C74" w:rsidRDefault="00084C74" w:rsidP="00084C74">
            <w:pPr>
              <w:widowControl/>
              <w:suppressAutoHyphens w:val="0"/>
              <w:autoSpaceDE/>
              <w:spacing w:after="0" w:line="240" w:lineRule="auto"/>
              <w:ind w:firstLine="0"/>
              <w:jc w:val="left"/>
              <w:rPr>
                <w:rFonts w:ascii="Calibri" w:hAnsi="Calibri" w:cs="Calibri"/>
                <w:szCs w:val="24"/>
                <w:lang w:eastAsia="cs-CZ"/>
              </w:rPr>
            </w:pPr>
          </w:p>
        </w:tc>
        <w:tc>
          <w:tcPr>
            <w:tcW w:w="1041" w:type="dxa"/>
            <w:tcBorders>
              <w:top w:val="nil"/>
              <w:left w:val="nil"/>
              <w:bottom w:val="nil"/>
              <w:right w:val="nil"/>
            </w:tcBorders>
            <w:shd w:val="clear" w:color="auto" w:fill="auto"/>
            <w:noWrap/>
            <w:vAlign w:val="bottom"/>
            <w:hideMark/>
          </w:tcPr>
          <w:p w14:paraId="7BFAC5DB"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05" w:type="dxa"/>
            <w:tcBorders>
              <w:top w:val="nil"/>
              <w:left w:val="nil"/>
              <w:bottom w:val="nil"/>
              <w:right w:val="nil"/>
            </w:tcBorders>
            <w:shd w:val="clear" w:color="auto" w:fill="auto"/>
            <w:noWrap/>
            <w:vAlign w:val="bottom"/>
            <w:hideMark/>
          </w:tcPr>
          <w:p w14:paraId="5E854F6E" w14:textId="632DC21B" w:rsidR="00084C74" w:rsidRPr="00084C74" w:rsidRDefault="00084C74" w:rsidP="00084C74">
            <w:pPr>
              <w:widowControl/>
              <w:suppressAutoHyphens w:val="0"/>
              <w:autoSpaceDE/>
              <w:spacing w:after="0" w:line="240" w:lineRule="auto"/>
              <w:ind w:firstLine="0"/>
              <w:jc w:val="right"/>
              <w:rPr>
                <w:rFonts w:ascii="Calibri" w:hAnsi="Calibri" w:cs="Calibri"/>
                <w:szCs w:val="24"/>
                <w:lang w:eastAsia="cs-CZ"/>
              </w:rPr>
            </w:pPr>
            <w:r w:rsidRPr="00084C74">
              <w:rPr>
                <w:rFonts w:ascii="Calibri" w:hAnsi="Calibri" w:cs="Calibri"/>
                <w:szCs w:val="24"/>
                <w:lang w:eastAsia="cs-CZ"/>
              </w:rPr>
              <w:t xml:space="preserve">P </w:t>
            </w:r>
            <w:r w:rsidR="006C2E29">
              <w:rPr>
                <w:rFonts w:ascii="Calibri" w:hAnsi="Calibri" w:cs="Calibri"/>
                <w:szCs w:val="24"/>
                <w:lang w:eastAsia="cs-CZ"/>
              </w:rPr>
              <w:t>65</w:t>
            </w:r>
            <w:r w:rsidRPr="00084C74">
              <w:rPr>
                <w:rFonts w:ascii="Calibri" w:hAnsi="Calibri" w:cs="Calibri"/>
                <w:szCs w:val="24"/>
                <w:lang w:eastAsia="cs-CZ"/>
              </w:rPr>
              <w:t>/6</w:t>
            </w:r>
          </w:p>
        </w:tc>
        <w:tc>
          <w:tcPr>
            <w:tcW w:w="1114" w:type="dxa"/>
            <w:tcBorders>
              <w:top w:val="nil"/>
              <w:left w:val="nil"/>
              <w:bottom w:val="nil"/>
              <w:right w:val="nil"/>
            </w:tcBorders>
            <w:shd w:val="clear" w:color="auto" w:fill="auto"/>
            <w:noWrap/>
            <w:vAlign w:val="bottom"/>
            <w:hideMark/>
          </w:tcPr>
          <w:p w14:paraId="3B4505F4" w14:textId="77777777" w:rsidR="00084C74" w:rsidRPr="00084C74" w:rsidRDefault="00084C74" w:rsidP="00084C74">
            <w:pPr>
              <w:widowControl/>
              <w:suppressAutoHyphens w:val="0"/>
              <w:autoSpaceDE/>
              <w:spacing w:after="0" w:line="240" w:lineRule="auto"/>
              <w:ind w:firstLine="0"/>
              <w:jc w:val="right"/>
              <w:rPr>
                <w:rFonts w:ascii="Calibri" w:hAnsi="Calibri" w:cs="Calibri"/>
                <w:szCs w:val="24"/>
                <w:lang w:eastAsia="cs-CZ"/>
              </w:rPr>
            </w:pPr>
          </w:p>
        </w:tc>
        <w:tc>
          <w:tcPr>
            <w:tcW w:w="960" w:type="dxa"/>
            <w:tcBorders>
              <w:top w:val="nil"/>
              <w:left w:val="nil"/>
              <w:bottom w:val="nil"/>
              <w:right w:val="nil"/>
            </w:tcBorders>
            <w:shd w:val="clear" w:color="auto" w:fill="auto"/>
            <w:noWrap/>
            <w:vAlign w:val="bottom"/>
            <w:hideMark/>
          </w:tcPr>
          <w:p w14:paraId="6202370F"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r>
      <w:tr w:rsidR="00084C74" w:rsidRPr="00084C74" w14:paraId="266747B0" w14:textId="77777777" w:rsidTr="00084C74">
        <w:trPr>
          <w:trHeight w:val="315"/>
        </w:trPr>
        <w:tc>
          <w:tcPr>
            <w:tcW w:w="1926" w:type="dxa"/>
            <w:gridSpan w:val="2"/>
            <w:tcBorders>
              <w:top w:val="nil"/>
              <w:left w:val="nil"/>
              <w:bottom w:val="nil"/>
              <w:right w:val="nil"/>
            </w:tcBorders>
            <w:shd w:val="clear" w:color="auto" w:fill="auto"/>
            <w:noWrap/>
            <w:vAlign w:val="bottom"/>
            <w:hideMark/>
          </w:tcPr>
          <w:p w14:paraId="4D09A7E6" w14:textId="77777777" w:rsidR="00084C74" w:rsidRPr="00084C74" w:rsidRDefault="00084C74" w:rsidP="00084C74">
            <w:pPr>
              <w:widowControl/>
              <w:suppressAutoHyphens w:val="0"/>
              <w:autoSpaceDE/>
              <w:spacing w:after="0" w:line="240" w:lineRule="auto"/>
              <w:ind w:firstLine="0"/>
              <w:jc w:val="left"/>
              <w:rPr>
                <w:rFonts w:ascii="Calibri" w:hAnsi="Calibri" w:cs="Calibri"/>
                <w:szCs w:val="24"/>
                <w:lang w:eastAsia="cs-CZ"/>
              </w:rPr>
            </w:pPr>
            <w:r w:rsidRPr="00084C74">
              <w:rPr>
                <w:rFonts w:ascii="Calibri" w:hAnsi="Calibri" w:cs="Calibri"/>
                <w:szCs w:val="24"/>
                <w:lang w:eastAsia="cs-CZ"/>
              </w:rPr>
              <w:t>Připojení plynu:</w:t>
            </w:r>
          </w:p>
        </w:tc>
        <w:tc>
          <w:tcPr>
            <w:tcW w:w="963" w:type="dxa"/>
            <w:tcBorders>
              <w:top w:val="nil"/>
              <w:left w:val="nil"/>
              <w:bottom w:val="nil"/>
              <w:right w:val="nil"/>
            </w:tcBorders>
            <w:shd w:val="clear" w:color="auto" w:fill="auto"/>
            <w:noWrap/>
            <w:vAlign w:val="bottom"/>
            <w:hideMark/>
          </w:tcPr>
          <w:p w14:paraId="067B010B" w14:textId="77777777" w:rsidR="00084C74" w:rsidRPr="00084C74" w:rsidRDefault="00084C74" w:rsidP="00084C74">
            <w:pPr>
              <w:widowControl/>
              <w:suppressAutoHyphens w:val="0"/>
              <w:autoSpaceDE/>
              <w:spacing w:after="0" w:line="240" w:lineRule="auto"/>
              <w:ind w:firstLine="0"/>
              <w:jc w:val="left"/>
              <w:rPr>
                <w:rFonts w:ascii="Calibri" w:hAnsi="Calibri" w:cs="Calibri"/>
                <w:szCs w:val="24"/>
                <w:lang w:eastAsia="cs-CZ"/>
              </w:rPr>
            </w:pPr>
          </w:p>
        </w:tc>
        <w:tc>
          <w:tcPr>
            <w:tcW w:w="963" w:type="dxa"/>
            <w:tcBorders>
              <w:top w:val="nil"/>
              <w:left w:val="nil"/>
              <w:bottom w:val="nil"/>
              <w:right w:val="nil"/>
            </w:tcBorders>
            <w:shd w:val="clear" w:color="auto" w:fill="auto"/>
            <w:noWrap/>
            <w:vAlign w:val="bottom"/>
            <w:hideMark/>
          </w:tcPr>
          <w:p w14:paraId="37E3B859"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1041" w:type="dxa"/>
            <w:tcBorders>
              <w:top w:val="nil"/>
              <w:left w:val="nil"/>
              <w:bottom w:val="nil"/>
              <w:right w:val="nil"/>
            </w:tcBorders>
            <w:shd w:val="clear" w:color="auto" w:fill="auto"/>
            <w:noWrap/>
            <w:vAlign w:val="bottom"/>
            <w:hideMark/>
          </w:tcPr>
          <w:p w14:paraId="3623EE66"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05" w:type="dxa"/>
            <w:tcBorders>
              <w:top w:val="nil"/>
              <w:left w:val="nil"/>
              <w:bottom w:val="nil"/>
              <w:right w:val="nil"/>
            </w:tcBorders>
            <w:shd w:val="clear" w:color="auto" w:fill="auto"/>
            <w:noWrap/>
            <w:vAlign w:val="bottom"/>
            <w:hideMark/>
          </w:tcPr>
          <w:p w14:paraId="1B7D7E26" w14:textId="77777777" w:rsidR="00084C74" w:rsidRPr="00084C74" w:rsidRDefault="00084C74" w:rsidP="00084C74">
            <w:pPr>
              <w:widowControl/>
              <w:suppressAutoHyphens w:val="0"/>
              <w:autoSpaceDE/>
              <w:spacing w:after="0" w:line="240" w:lineRule="auto"/>
              <w:ind w:firstLine="0"/>
              <w:jc w:val="right"/>
              <w:rPr>
                <w:rFonts w:ascii="Calibri" w:hAnsi="Calibri" w:cs="Calibri"/>
                <w:szCs w:val="24"/>
                <w:lang w:eastAsia="cs-CZ"/>
              </w:rPr>
            </w:pPr>
            <w:r w:rsidRPr="00084C74">
              <w:rPr>
                <w:rFonts w:ascii="Calibri" w:hAnsi="Calibri" w:cs="Calibri"/>
                <w:szCs w:val="24"/>
                <w:lang w:eastAsia="cs-CZ"/>
              </w:rPr>
              <w:t>1½"</w:t>
            </w:r>
          </w:p>
        </w:tc>
        <w:tc>
          <w:tcPr>
            <w:tcW w:w="1114" w:type="dxa"/>
            <w:tcBorders>
              <w:top w:val="nil"/>
              <w:left w:val="nil"/>
              <w:bottom w:val="nil"/>
              <w:right w:val="nil"/>
            </w:tcBorders>
            <w:shd w:val="clear" w:color="auto" w:fill="auto"/>
            <w:noWrap/>
            <w:vAlign w:val="bottom"/>
            <w:hideMark/>
          </w:tcPr>
          <w:p w14:paraId="385D2909" w14:textId="77777777" w:rsidR="00084C74" w:rsidRPr="00084C74" w:rsidRDefault="00084C74" w:rsidP="00084C74">
            <w:pPr>
              <w:widowControl/>
              <w:suppressAutoHyphens w:val="0"/>
              <w:autoSpaceDE/>
              <w:spacing w:after="0" w:line="240" w:lineRule="auto"/>
              <w:ind w:firstLine="0"/>
              <w:jc w:val="right"/>
              <w:rPr>
                <w:rFonts w:ascii="Calibri" w:hAnsi="Calibri" w:cs="Calibri"/>
                <w:szCs w:val="24"/>
                <w:lang w:eastAsia="cs-CZ"/>
              </w:rPr>
            </w:pPr>
          </w:p>
        </w:tc>
        <w:tc>
          <w:tcPr>
            <w:tcW w:w="960" w:type="dxa"/>
            <w:tcBorders>
              <w:top w:val="nil"/>
              <w:left w:val="nil"/>
              <w:bottom w:val="nil"/>
              <w:right w:val="nil"/>
            </w:tcBorders>
            <w:shd w:val="clear" w:color="auto" w:fill="auto"/>
            <w:noWrap/>
            <w:vAlign w:val="bottom"/>
            <w:hideMark/>
          </w:tcPr>
          <w:p w14:paraId="68FBFEB5"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r>
      <w:tr w:rsidR="00084C74" w:rsidRPr="00084C74" w14:paraId="2BA54092" w14:textId="77777777" w:rsidTr="00084C74">
        <w:trPr>
          <w:trHeight w:val="315"/>
        </w:trPr>
        <w:tc>
          <w:tcPr>
            <w:tcW w:w="2889" w:type="dxa"/>
            <w:gridSpan w:val="3"/>
            <w:tcBorders>
              <w:top w:val="nil"/>
              <w:left w:val="nil"/>
              <w:bottom w:val="nil"/>
              <w:right w:val="nil"/>
            </w:tcBorders>
            <w:shd w:val="clear" w:color="auto" w:fill="auto"/>
            <w:noWrap/>
            <w:vAlign w:val="bottom"/>
            <w:hideMark/>
          </w:tcPr>
          <w:p w14:paraId="6335EDEC"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Připojení kouřovodu:</w:t>
            </w:r>
          </w:p>
        </w:tc>
        <w:tc>
          <w:tcPr>
            <w:tcW w:w="963" w:type="dxa"/>
            <w:tcBorders>
              <w:top w:val="nil"/>
              <w:left w:val="nil"/>
              <w:bottom w:val="nil"/>
              <w:right w:val="nil"/>
            </w:tcBorders>
            <w:shd w:val="clear" w:color="auto" w:fill="auto"/>
            <w:noWrap/>
            <w:vAlign w:val="bottom"/>
            <w:hideMark/>
          </w:tcPr>
          <w:p w14:paraId="26F55F69"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c>
          <w:tcPr>
            <w:tcW w:w="1041" w:type="dxa"/>
            <w:tcBorders>
              <w:top w:val="nil"/>
              <w:left w:val="nil"/>
              <w:bottom w:val="nil"/>
              <w:right w:val="nil"/>
            </w:tcBorders>
            <w:shd w:val="clear" w:color="auto" w:fill="auto"/>
            <w:noWrap/>
            <w:vAlign w:val="bottom"/>
            <w:hideMark/>
          </w:tcPr>
          <w:p w14:paraId="2E5A0F78"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05" w:type="dxa"/>
            <w:tcBorders>
              <w:top w:val="nil"/>
              <w:left w:val="nil"/>
              <w:bottom w:val="nil"/>
              <w:right w:val="nil"/>
            </w:tcBorders>
            <w:shd w:val="clear" w:color="auto" w:fill="auto"/>
            <w:noWrap/>
            <w:vAlign w:val="bottom"/>
            <w:hideMark/>
          </w:tcPr>
          <w:p w14:paraId="50103DA4" w14:textId="77777777" w:rsidR="00084C74" w:rsidRPr="00084C74" w:rsidRDefault="00084C74" w:rsidP="00084C74">
            <w:pPr>
              <w:widowControl/>
              <w:suppressAutoHyphens w:val="0"/>
              <w:autoSpaceDE/>
              <w:spacing w:after="0" w:line="240" w:lineRule="auto"/>
              <w:ind w:firstLine="0"/>
              <w:jc w:val="right"/>
              <w:rPr>
                <w:rFonts w:ascii="Calibri" w:hAnsi="Calibri" w:cs="Calibri"/>
                <w:color w:val="000000"/>
                <w:szCs w:val="24"/>
                <w:lang w:eastAsia="cs-CZ"/>
              </w:rPr>
            </w:pPr>
            <w:r w:rsidRPr="00084C74">
              <w:rPr>
                <w:rFonts w:ascii="Calibri" w:hAnsi="Calibri" w:cs="Calibri"/>
                <w:color w:val="000000"/>
                <w:szCs w:val="24"/>
                <w:lang w:eastAsia="cs-CZ"/>
              </w:rPr>
              <w:t>306</w:t>
            </w:r>
          </w:p>
        </w:tc>
        <w:tc>
          <w:tcPr>
            <w:tcW w:w="1114" w:type="dxa"/>
            <w:tcBorders>
              <w:top w:val="nil"/>
              <w:left w:val="nil"/>
              <w:bottom w:val="nil"/>
              <w:right w:val="nil"/>
            </w:tcBorders>
            <w:shd w:val="clear" w:color="auto" w:fill="auto"/>
            <w:noWrap/>
            <w:vAlign w:val="bottom"/>
            <w:hideMark/>
          </w:tcPr>
          <w:p w14:paraId="1A19AE9F"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mm</w:t>
            </w:r>
          </w:p>
        </w:tc>
        <w:tc>
          <w:tcPr>
            <w:tcW w:w="960" w:type="dxa"/>
            <w:tcBorders>
              <w:top w:val="nil"/>
              <w:left w:val="nil"/>
              <w:bottom w:val="nil"/>
              <w:right w:val="nil"/>
            </w:tcBorders>
            <w:shd w:val="clear" w:color="auto" w:fill="auto"/>
            <w:noWrap/>
            <w:vAlign w:val="bottom"/>
            <w:hideMark/>
          </w:tcPr>
          <w:p w14:paraId="664CCEC5"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r>
      <w:tr w:rsidR="00084C74" w:rsidRPr="00084C74" w14:paraId="2E076099" w14:textId="77777777" w:rsidTr="00084C74">
        <w:trPr>
          <w:trHeight w:val="315"/>
        </w:trPr>
        <w:tc>
          <w:tcPr>
            <w:tcW w:w="1926" w:type="dxa"/>
            <w:gridSpan w:val="2"/>
            <w:tcBorders>
              <w:top w:val="nil"/>
              <w:left w:val="nil"/>
              <w:bottom w:val="nil"/>
              <w:right w:val="nil"/>
            </w:tcBorders>
            <w:shd w:val="clear" w:color="auto" w:fill="auto"/>
            <w:noWrap/>
            <w:vAlign w:val="bottom"/>
            <w:hideMark/>
          </w:tcPr>
          <w:p w14:paraId="7DAAF52E"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Pojistný přívod:</w:t>
            </w:r>
          </w:p>
        </w:tc>
        <w:tc>
          <w:tcPr>
            <w:tcW w:w="963" w:type="dxa"/>
            <w:tcBorders>
              <w:top w:val="nil"/>
              <w:left w:val="nil"/>
              <w:bottom w:val="nil"/>
              <w:right w:val="nil"/>
            </w:tcBorders>
            <w:shd w:val="clear" w:color="auto" w:fill="auto"/>
            <w:noWrap/>
            <w:vAlign w:val="bottom"/>
            <w:hideMark/>
          </w:tcPr>
          <w:p w14:paraId="228CE53E"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p>
        </w:tc>
        <w:tc>
          <w:tcPr>
            <w:tcW w:w="963" w:type="dxa"/>
            <w:tcBorders>
              <w:top w:val="nil"/>
              <w:left w:val="nil"/>
              <w:bottom w:val="nil"/>
              <w:right w:val="nil"/>
            </w:tcBorders>
            <w:shd w:val="clear" w:color="auto" w:fill="auto"/>
            <w:noWrap/>
            <w:vAlign w:val="bottom"/>
            <w:hideMark/>
          </w:tcPr>
          <w:p w14:paraId="124334FF"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1041" w:type="dxa"/>
            <w:tcBorders>
              <w:top w:val="nil"/>
              <w:left w:val="nil"/>
              <w:bottom w:val="nil"/>
              <w:right w:val="nil"/>
            </w:tcBorders>
            <w:shd w:val="clear" w:color="auto" w:fill="auto"/>
            <w:noWrap/>
            <w:vAlign w:val="bottom"/>
            <w:hideMark/>
          </w:tcPr>
          <w:p w14:paraId="3754DA54"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c>
          <w:tcPr>
            <w:tcW w:w="905" w:type="dxa"/>
            <w:tcBorders>
              <w:top w:val="nil"/>
              <w:left w:val="nil"/>
              <w:bottom w:val="nil"/>
              <w:right w:val="nil"/>
            </w:tcBorders>
            <w:shd w:val="clear" w:color="auto" w:fill="auto"/>
            <w:noWrap/>
            <w:vAlign w:val="bottom"/>
            <w:hideMark/>
          </w:tcPr>
          <w:p w14:paraId="4D488B20" w14:textId="77777777" w:rsidR="00084C74" w:rsidRPr="00084C74" w:rsidRDefault="00084C74" w:rsidP="00084C74">
            <w:pPr>
              <w:widowControl/>
              <w:suppressAutoHyphens w:val="0"/>
              <w:autoSpaceDE/>
              <w:spacing w:after="0" w:line="240" w:lineRule="auto"/>
              <w:ind w:firstLine="0"/>
              <w:jc w:val="right"/>
              <w:rPr>
                <w:rFonts w:ascii="Calibri" w:hAnsi="Calibri" w:cs="Calibri"/>
                <w:szCs w:val="24"/>
                <w:lang w:eastAsia="cs-CZ"/>
              </w:rPr>
            </w:pPr>
            <w:r w:rsidRPr="00084C74">
              <w:rPr>
                <w:rFonts w:ascii="Calibri" w:hAnsi="Calibri" w:cs="Calibri"/>
                <w:szCs w:val="24"/>
                <w:lang w:eastAsia="cs-CZ"/>
              </w:rPr>
              <w:t>1½"</w:t>
            </w:r>
          </w:p>
        </w:tc>
        <w:tc>
          <w:tcPr>
            <w:tcW w:w="1114" w:type="dxa"/>
            <w:tcBorders>
              <w:top w:val="nil"/>
              <w:left w:val="nil"/>
              <w:bottom w:val="nil"/>
              <w:right w:val="nil"/>
            </w:tcBorders>
            <w:shd w:val="clear" w:color="auto" w:fill="auto"/>
            <w:noWrap/>
            <w:vAlign w:val="bottom"/>
            <w:hideMark/>
          </w:tcPr>
          <w:p w14:paraId="730E36D2" w14:textId="77777777" w:rsidR="00084C74" w:rsidRPr="00084C74" w:rsidRDefault="00084C74" w:rsidP="00084C74">
            <w:pPr>
              <w:widowControl/>
              <w:suppressAutoHyphens w:val="0"/>
              <w:autoSpaceDE/>
              <w:spacing w:after="0" w:line="240" w:lineRule="auto"/>
              <w:ind w:firstLine="0"/>
              <w:jc w:val="right"/>
              <w:rPr>
                <w:rFonts w:ascii="Calibri" w:hAnsi="Calibri" w:cs="Calibri"/>
                <w:szCs w:val="24"/>
                <w:lang w:eastAsia="cs-CZ"/>
              </w:rPr>
            </w:pPr>
          </w:p>
        </w:tc>
        <w:tc>
          <w:tcPr>
            <w:tcW w:w="960" w:type="dxa"/>
            <w:tcBorders>
              <w:top w:val="nil"/>
              <w:left w:val="nil"/>
              <w:bottom w:val="nil"/>
              <w:right w:val="nil"/>
            </w:tcBorders>
            <w:shd w:val="clear" w:color="auto" w:fill="auto"/>
            <w:noWrap/>
            <w:vAlign w:val="bottom"/>
            <w:hideMark/>
          </w:tcPr>
          <w:p w14:paraId="0359FB39"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r>
      <w:tr w:rsidR="00084C74" w:rsidRPr="00084C74" w14:paraId="7E89EEFE" w14:textId="77777777" w:rsidTr="00084C74">
        <w:trPr>
          <w:trHeight w:val="315"/>
        </w:trPr>
        <w:tc>
          <w:tcPr>
            <w:tcW w:w="4893" w:type="dxa"/>
            <w:gridSpan w:val="5"/>
            <w:tcBorders>
              <w:top w:val="nil"/>
              <w:left w:val="nil"/>
              <w:bottom w:val="nil"/>
              <w:right w:val="nil"/>
            </w:tcBorders>
            <w:shd w:val="clear" w:color="auto" w:fill="auto"/>
            <w:noWrap/>
            <w:vAlign w:val="bottom"/>
            <w:hideMark/>
          </w:tcPr>
          <w:p w14:paraId="6C118B78" w14:textId="77777777" w:rsidR="00084C74" w:rsidRPr="00084C74" w:rsidRDefault="00084C74" w:rsidP="00084C74">
            <w:pPr>
              <w:widowControl/>
              <w:suppressAutoHyphens w:val="0"/>
              <w:autoSpaceDE/>
              <w:spacing w:after="0" w:line="240" w:lineRule="auto"/>
              <w:ind w:firstLine="0"/>
              <w:jc w:val="left"/>
              <w:rPr>
                <w:rFonts w:ascii="Calibri" w:hAnsi="Calibri" w:cs="Calibri"/>
                <w:color w:val="000000"/>
                <w:szCs w:val="24"/>
                <w:lang w:eastAsia="cs-CZ"/>
              </w:rPr>
            </w:pPr>
            <w:r w:rsidRPr="00084C74">
              <w:rPr>
                <w:rFonts w:ascii="Calibri" w:hAnsi="Calibri" w:cs="Calibri"/>
                <w:color w:val="000000"/>
                <w:szCs w:val="24"/>
                <w:lang w:eastAsia="cs-CZ"/>
              </w:rPr>
              <w:t>Odvod kondenzátu včetně sifonu pro PVC trubku:</w:t>
            </w:r>
          </w:p>
        </w:tc>
        <w:tc>
          <w:tcPr>
            <w:tcW w:w="905" w:type="dxa"/>
            <w:tcBorders>
              <w:top w:val="nil"/>
              <w:left w:val="nil"/>
              <w:bottom w:val="nil"/>
              <w:right w:val="nil"/>
            </w:tcBorders>
            <w:shd w:val="clear" w:color="auto" w:fill="auto"/>
            <w:noWrap/>
            <w:vAlign w:val="bottom"/>
            <w:hideMark/>
          </w:tcPr>
          <w:p w14:paraId="78207C24" w14:textId="77777777" w:rsidR="00084C74" w:rsidRPr="00084C74" w:rsidRDefault="00084C74" w:rsidP="00084C74">
            <w:pPr>
              <w:widowControl/>
              <w:suppressAutoHyphens w:val="0"/>
              <w:autoSpaceDE/>
              <w:spacing w:after="0" w:line="240" w:lineRule="auto"/>
              <w:ind w:firstLine="0"/>
              <w:jc w:val="right"/>
              <w:rPr>
                <w:rFonts w:ascii="Calibri" w:hAnsi="Calibri" w:cs="Calibri"/>
                <w:color w:val="000000"/>
                <w:szCs w:val="24"/>
                <w:lang w:eastAsia="cs-CZ"/>
              </w:rPr>
            </w:pPr>
            <w:r w:rsidRPr="00084C74">
              <w:rPr>
                <w:rFonts w:ascii="Calibri" w:hAnsi="Calibri" w:cs="Calibri"/>
                <w:color w:val="000000"/>
                <w:szCs w:val="24"/>
                <w:lang w:eastAsia="cs-CZ"/>
              </w:rPr>
              <w:t>DN 25</w:t>
            </w:r>
          </w:p>
        </w:tc>
        <w:tc>
          <w:tcPr>
            <w:tcW w:w="1114" w:type="dxa"/>
            <w:tcBorders>
              <w:top w:val="nil"/>
              <w:left w:val="nil"/>
              <w:bottom w:val="nil"/>
              <w:right w:val="nil"/>
            </w:tcBorders>
            <w:shd w:val="clear" w:color="auto" w:fill="auto"/>
            <w:noWrap/>
            <w:vAlign w:val="bottom"/>
            <w:hideMark/>
          </w:tcPr>
          <w:p w14:paraId="11477388" w14:textId="77777777" w:rsidR="00084C74" w:rsidRPr="00084C74" w:rsidRDefault="00084C74" w:rsidP="00084C74">
            <w:pPr>
              <w:widowControl/>
              <w:suppressAutoHyphens w:val="0"/>
              <w:autoSpaceDE/>
              <w:spacing w:after="0" w:line="240" w:lineRule="auto"/>
              <w:ind w:firstLine="0"/>
              <w:jc w:val="right"/>
              <w:rPr>
                <w:rFonts w:ascii="Calibri" w:hAnsi="Calibri" w:cs="Calibri"/>
                <w:color w:val="000000"/>
                <w:szCs w:val="24"/>
                <w:lang w:eastAsia="cs-CZ"/>
              </w:rPr>
            </w:pPr>
          </w:p>
        </w:tc>
        <w:tc>
          <w:tcPr>
            <w:tcW w:w="960" w:type="dxa"/>
            <w:tcBorders>
              <w:top w:val="nil"/>
              <w:left w:val="nil"/>
              <w:bottom w:val="nil"/>
              <w:right w:val="nil"/>
            </w:tcBorders>
            <w:shd w:val="clear" w:color="auto" w:fill="auto"/>
            <w:noWrap/>
            <w:vAlign w:val="bottom"/>
            <w:hideMark/>
          </w:tcPr>
          <w:p w14:paraId="7D27E505" w14:textId="77777777" w:rsidR="00084C74" w:rsidRPr="00084C74" w:rsidRDefault="00084C74" w:rsidP="00084C74">
            <w:pPr>
              <w:widowControl/>
              <w:suppressAutoHyphens w:val="0"/>
              <w:autoSpaceDE/>
              <w:spacing w:after="0" w:line="240" w:lineRule="auto"/>
              <w:ind w:firstLine="0"/>
              <w:jc w:val="left"/>
              <w:rPr>
                <w:rFonts w:ascii="Times New Roman" w:hAnsi="Times New Roman" w:cs="Times New Roman"/>
                <w:sz w:val="20"/>
                <w:lang w:eastAsia="cs-CZ"/>
              </w:rPr>
            </w:pPr>
          </w:p>
        </w:tc>
      </w:tr>
    </w:tbl>
    <w:p w14:paraId="0CA281FC" w14:textId="77777777" w:rsidR="00834566" w:rsidRPr="00FB1D23" w:rsidRDefault="00834566" w:rsidP="00162C48">
      <w:pPr>
        <w:rPr>
          <w:highlight w:val="yellow"/>
        </w:rPr>
      </w:pPr>
    </w:p>
    <w:p w14:paraId="51614FD3" w14:textId="77777777" w:rsidR="00162C48" w:rsidRPr="00B56580" w:rsidRDefault="00162C48" w:rsidP="00E7494E">
      <w:pPr>
        <w:pStyle w:val="Nadpis3"/>
      </w:pPr>
      <w:r w:rsidRPr="00B56580">
        <w:t>Zabezpečovací zařízení</w:t>
      </w:r>
      <w:r w:rsidR="00221866" w:rsidRPr="00B56580">
        <w:t>, doplňování</w:t>
      </w:r>
    </w:p>
    <w:p w14:paraId="1D404319" w14:textId="77777777" w:rsidR="00B56580" w:rsidRPr="00B56580" w:rsidRDefault="00B56580" w:rsidP="00B56580">
      <w:r w:rsidRPr="00B56580">
        <w:t xml:space="preserve">Pojistné ventily a expanzní zařízení jsou navrženy dle ČSN 06 0830 Tepelné soustavy v </w:t>
      </w:r>
      <w:proofErr w:type="gramStart"/>
      <w:r w:rsidRPr="00B56580">
        <w:t>budovách - Zabezpečovací</w:t>
      </w:r>
      <w:proofErr w:type="gramEnd"/>
      <w:r w:rsidRPr="00B56580">
        <w:t xml:space="preserve"> zařízení a jejich výpočty jsou uvedeny v příloze. </w:t>
      </w:r>
    </w:p>
    <w:p w14:paraId="455AC9B5" w14:textId="77777777" w:rsidR="00084C74" w:rsidRPr="00B56580" w:rsidRDefault="00084C74" w:rsidP="00287881">
      <w:r w:rsidRPr="00B56580">
        <w:t>Na každém kotli je umístěn pojistný ventil, který slouží jako ochrana před překročení nejvyššího povoleného tlaku.</w:t>
      </w:r>
    </w:p>
    <w:p w14:paraId="46F9045D" w14:textId="77777777" w:rsidR="00E26795" w:rsidRPr="00B56580" w:rsidRDefault="00084C74" w:rsidP="00287881">
      <w:r w:rsidRPr="00B56580">
        <w:t>Otopná soustava je chráněna pojistným ventilem v místě doplňování soustavy.</w:t>
      </w:r>
      <w:r w:rsidR="00815E57" w:rsidRPr="00B56580">
        <w:t xml:space="preserve"> </w:t>
      </w:r>
    </w:p>
    <w:p w14:paraId="5A2934EE" w14:textId="77777777" w:rsidR="00084C74" w:rsidRPr="00B56580" w:rsidRDefault="00084C74" w:rsidP="00287881">
      <w:r w:rsidRPr="00B56580">
        <w:t>Boilery jsou chráněny společně na přívodu studené vody do boilerů.</w:t>
      </w:r>
    </w:p>
    <w:p w14:paraId="79E083CC" w14:textId="77777777" w:rsidR="00084C74" w:rsidRPr="00B56580" w:rsidRDefault="00B56580" w:rsidP="00287881">
      <w:r w:rsidRPr="00B56580">
        <w:t xml:space="preserve">Teplotní roztažnost vody je kompenzována pomocí expanzních nádob s membránou. </w:t>
      </w:r>
    </w:p>
    <w:p w14:paraId="352D142F" w14:textId="77777777" w:rsidR="00162C48" w:rsidRPr="00113221" w:rsidRDefault="00162C48" w:rsidP="00E7494E">
      <w:pPr>
        <w:pStyle w:val="Nadpis3"/>
      </w:pPr>
      <w:r w:rsidRPr="00113221">
        <w:t>Větrání</w:t>
      </w:r>
    </w:p>
    <w:p w14:paraId="1D6C1848" w14:textId="77777777" w:rsidR="00B56580" w:rsidRPr="00113221" w:rsidRDefault="00B56580" w:rsidP="00E26795">
      <w:r w:rsidRPr="00113221">
        <w:t>Větrání je půl násobné a zůstane převážně zachováno. Vzduch je nasáván z anglického dvorku a sveden potrubím k zemi a je odváděn pod stropem potrubím, které vede komínem až nad střechu. Dimenze a uspořádání větrání je v pořádku, pouze nedochází k příčnému provětrání kotelny a odvodní potrubí bude tedy protaženo přes celou kotelnu nad vchod. Výpočet je uveden v příloze.</w:t>
      </w:r>
    </w:p>
    <w:p w14:paraId="56EC4764" w14:textId="77777777" w:rsidR="00E26795" w:rsidRPr="00113221" w:rsidRDefault="00E26795" w:rsidP="00E26795">
      <w:r w:rsidRPr="00113221">
        <w:t>Otvory pro přirozené větrání v prostorách musí být neuzavíratelné. Otvory (vyústění přívodních šachet) pro přirozený přívod vzduchu se umísťují u podlahy, otvory pro odvod vzduchu pak pod stropem</w:t>
      </w:r>
    </w:p>
    <w:p w14:paraId="417B9AE0" w14:textId="77777777" w:rsidR="00221866" w:rsidRPr="00113221" w:rsidRDefault="00221866" w:rsidP="00C914FE">
      <w:pPr>
        <w:pStyle w:val="Nadpis3"/>
      </w:pPr>
      <w:r w:rsidRPr="00113221">
        <w:t>Komíny a kouřovody</w:t>
      </w:r>
    </w:p>
    <w:p w14:paraId="3DF14B28" w14:textId="77777777" w:rsidR="00221866" w:rsidRPr="00113221" w:rsidRDefault="00221866" w:rsidP="00221866">
      <w:r w:rsidRPr="00113221">
        <w:t xml:space="preserve">Komíny a kouřovody jsou navrženy v souladu s ČSN EN 1443 </w:t>
      </w:r>
      <w:r w:rsidR="007B6934" w:rsidRPr="00113221">
        <w:t>Komíny – Všeobecné</w:t>
      </w:r>
      <w:r w:rsidRPr="00113221">
        <w:t xml:space="preserve"> požadavky (září 2004), ČSN 73 4201 Komíny a </w:t>
      </w:r>
      <w:r w:rsidR="007B6934" w:rsidRPr="00113221">
        <w:t>kouřovody – Navrhování</w:t>
      </w:r>
      <w:r w:rsidRPr="00113221">
        <w:t xml:space="preserve">, provádění a připojování spotřebičů paliv, změna </w:t>
      </w:r>
      <w:r w:rsidR="00F608D8" w:rsidRPr="00113221">
        <w:t>4</w:t>
      </w:r>
      <w:r w:rsidRPr="00113221">
        <w:t xml:space="preserve"> (</w:t>
      </w:r>
      <w:r w:rsidR="00F608D8" w:rsidRPr="00113221">
        <w:t>leden</w:t>
      </w:r>
      <w:r w:rsidRPr="00113221">
        <w:t xml:space="preserve"> 201</w:t>
      </w:r>
      <w:r w:rsidR="00F608D8" w:rsidRPr="00113221">
        <w:t>7</w:t>
      </w:r>
      <w:r w:rsidRPr="00113221">
        <w:t xml:space="preserve">), </w:t>
      </w:r>
      <w:r w:rsidR="007B6934" w:rsidRPr="00113221">
        <w:t xml:space="preserve">TPG 941 02 Řešení odtahů spalin od spotřebičů na plynná paliva, </w:t>
      </w:r>
      <w:r w:rsidR="00F608D8" w:rsidRPr="00113221">
        <w:t xml:space="preserve">případně </w:t>
      </w:r>
      <w:r w:rsidRPr="00113221">
        <w:t>ČSN EN 13084-1 Volně stojící komíny (</w:t>
      </w:r>
      <w:r w:rsidR="00F608D8" w:rsidRPr="00113221">
        <w:t>říjen</w:t>
      </w:r>
      <w:r w:rsidRPr="00113221">
        <w:t xml:space="preserve"> 200</w:t>
      </w:r>
      <w:r w:rsidR="00F608D8" w:rsidRPr="00113221">
        <w:t>7</w:t>
      </w:r>
      <w:r w:rsidRPr="00113221">
        <w:t>)</w:t>
      </w:r>
      <w:r w:rsidR="00F608D8" w:rsidRPr="00113221">
        <w:t xml:space="preserve">. </w:t>
      </w:r>
    </w:p>
    <w:p w14:paraId="6CDD17D1" w14:textId="77777777" w:rsidR="00287881" w:rsidRDefault="00C016D0" w:rsidP="00162C48">
      <w:r w:rsidRPr="00113221">
        <w:t xml:space="preserve">Odvod spalin je veden </w:t>
      </w:r>
      <w:r w:rsidR="00113221" w:rsidRPr="00113221">
        <w:t xml:space="preserve">skoro stejně jako od stávajících kotlů, </w:t>
      </w:r>
      <w:r w:rsidRPr="00113221">
        <w:t xml:space="preserve">samostatným </w:t>
      </w:r>
      <w:r w:rsidR="00B56580" w:rsidRPr="00113221">
        <w:t xml:space="preserve">nerezovým </w:t>
      </w:r>
      <w:r w:rsidRPr="00113221">
        <w:t xml:space="preserve">potrubím </w:t>
      </w:r>
      <w:r w:rsidR="00853C1D" w:rsidRPr="00113221">
        <w:rPr>
          <w:lang w:val="en-US"/>
        </w:rPr>
        <w:t>ø</w:t>
      </w:r>
      <w:r w:rsidR="00B56580" w:rsidRPr="00113221">
        <w:t>250</w:t>
      </w:r>
      <w:r w:rsidR="00853C1D" w:rsidRPr="00113221">
        <w:t xml:space="preserve">mm </w:t>
      </w:r>
      <w:r w:rsidR="00113221" w:rsidRPr="00113221">
        <w:t>kotelnou do otvoru ve zdi, který vede ke komínu</w:t>
      </w:r>
      <w:r w:rsidR="00853C1D" w:rsidRPr="00113221">
        <w:t>.</w:t>
      </w:r>
      <w:r w:rsidR="00113221" w:rsidRPr="00113221">
        <w:t xml:space="preserve"> Vedlejší místností je veden kouřovod izolovaný </w:t>
      </w:r>
      <w:r w:rsidR="00113221" w:rsidRPr="00113221">
        <w:rPr>
          <w:lang w:val="en-US"/>
        </w:rPr>
        <w:t>ø</w:t>
      </w:r>
      <w:r w:rsidR="00113221" w:rsidRPr="00113221">
        <w:t xml:space="preserve">250/300 mm až ke komínu, kde bude instalována nerezová vložka </w:t>
      </w:r>
      <w:r w:rsidR="00113221" w:rsidRPr="00113221">
        <w:rPr>
          <w:lang w:val="en-US"/>
        </w:rPr>
        <w:t>ø</w:t>
      </w:r>
      <w:r w:rsidR="00113221" w:rsidRPr="00113221">
        <w:t>250mm vyvedená nad střechu a ukončená stříškou. Na trase budou umístěny kontrolní a čistící otvory. Celá trasa je vedena ve spádu tak, aby kondenzát odtékal ke kotli, kde je instalována neutralizační jímka.</w:t>
      </w:r>
    </w:p>
    <w:p w14:paraId="78E7A868" w14:textId="77777777" w:rsidR="00612999" w:rsidRDefault="00612999" w:rsidP="00612999">
      <w:r>
        <w:t>V době výstavby kotelny musí fungovat stávající plynový ohřívák vody. Protože je napojen do společného kouřovodu, musí být před zrušením kotelny napojen na nové samostatné odkouření nevyužitým komínem až nad střechu. Po zprovoznění kotelny bude demontován.</w:t>
      </w:r>
      <w:r w:rsidRPr="00612999">
        <w:t xml:space="preserve"> </w:t>
      </w:r>
      <w:r>
        <w:lastRenderedPageBreak/>
        <w:t xml:space="preserve">Odstávka od TV může být maximálně </w:t>
      </w:r>
      <w:r w:rsidR="00303943">
        <w:t>24</w:t>
      </w:r>
      <w:r>
        <w:t xml:space="preserve"> hodin.</w:t>
      </w:r>
    </w:p>
    <w:p w14:paraId="6A3484CE" w14:textId="77777777" w:rsidR="00113221" w:rsidRDefault="00113221" w:rsidP="00113221">
      <w:pPr>
        <w:pStyle w:val="Nadpis3"/>
      </w:pPr>
      <w:r>
        <w:t>Vnitřní plyn</w:t>
      </w:r>
    </w:p>
    <w:p w14:paraId="7BD7C9BE" w14:textId="77777777" w:rsidR="00113221" w:rsidRDefault="00113221" w:rsidP="00113221">
      <w:r>
        <w:t>Vnitřní plynovod zůstane převážně zachován.</w:t>
      </w:r>
      <w:r w:rsidR="00112D8B">
        <w:t xml:space="preserve"> Tlak plynu před kotli je dnes cca 2,5 kPa, což je dostatečné (nově potřebujeme 1,7-8 kPa)</w:t>
      </w:r>
      <w:r>
        <w:t xml:space="preserve"> Dnes je přiveden plynovod do kotelny a prochází kotelnou dál do objektu a z potrubí DN 80 je zřízena odbočka DN 50, která je při zemi vyvedena před kotelnu, kde je umístěn hlavní uzávěr kotelny. V tomto místě, bude nově instalován automatický bezpečnostní rychlouzávěr v horizontální poloze. Potrubí se oté opět vrací do kotelny, kde je nad kotli </w:t>
      </w:r>
      <w:r w:rsidR="00612999">
        <w:t>instalován akumulační kus, ze kterého budou nově instalované dvě odbočky pro nové kotle. Stávající odbočka bude zaslepena. Bude také využito odvzdušňovacího a odvětrávacího plynového potrubí, na které se napojí to nové.</w:t>
      </w:r>
    </w:p>
    <w:p w14:paraId="20638858" w14:textId="77777777" w:rsidR="00612999" w:rsidRDefault="00612999" w:rsidP="00303943">
      <w:r>
        <w:t xml:space="preserve">V době výstavby kotelny musí fungovat stávající plynový ohřívák vody, který je napojen do akumulačního kusu. Po zprovoznění kotelny bude ohřívák demontován. Odstávka od TV může být maximálně </w:t>
      </w:r>
      <w:r w:rsidR="00303943">
        <w:t>24</w:t>
      </w:r>
      <w:r>
        <w:t xml:space="preserve"> hodin.</w:t>
      </w:r>
    </w:p>
    <w:p w14:paraId="2572576F" w14:textId="77777777" w:rsidR="00925939" w:rsidRPr="0066606C" w:rsidRDefault="00925939" w:rsidP="00C914FE">
      <w:pPr>
        <w:pStyle w:val="Nadpis3"/>
      </w:pPr>
      <w:r w:rsidRPr="0066606C">
        <w:t>Regulace výkonu zdroje tepla</w:t>
      </w:r>
    </w:p>
    <w:p w14:paraId="2E911165" w14:textId="77777777" w:rsidR="00925939" w:rsidRPr="0066606C" w:rsidRDefault="00925939" w:rsidP="00925939">
      <w:r w:rsidRPr="0066606C">
        <w:t xml:space="preserve">Teplota topné vody </w:t>
      </w:r>
      <w:r w:rsidR="00B539C9" w:rsidRPr="0066606C">
        <w:t>jednotlivých větví</w:t>
      </w:r>
      <w:r w:rsidR="00362C3A" w:rsidRPr="0066606C">
        <w:t xml:space="preserve"> </w:t>
      </w:r>
      <w:r w:rsidR="00612999" w:rsidRPr="0066606C">
        <w:t xml:space="preserve">ÚT </w:t>
      </w:r>
      <w:r w:rsidRPr="0066606C">
        <w:t xml:space="preserve">bude regulována podle venkovní teploty, doplněná regulací termostatickými hlavicemi v jednotlivých místnostech. </w:t>
      </w:r>
    </w:p>
    <w:p w14:paraId="0E5521E4" w14:textId="77777777" w:rsidR="00B95378" w:rsidRPr="0066606C" w:rsidRDefault="00B95378" w:rsidP="00B95378">
      <w:pPr>
        <w:pStyle w:val="Nadpis2"/>
      </w:pPr>
      <w:bookmarkStart w:id="2" w:name="_Toc499816217"/>
      <w:r w:rsidRPr="0066606C">
        <w:t>Doplňování</w:t>
      </w:r>
      <w:bookmarkEnd w:id="2"/>
    </w:p>
    <w:p w14:paraId="7301E544" w14:textId="77777777" w:rsidR="00B95378" w:rsidRPr="0066606C" w:rsidRDefault="00B95378" w:rsidP="00B95378">
      <w:r w:rsidRPr="0066606C">
        <w:t xml:space="preserve">Doplňování otopné vody do soustavy bude probíhat ze stávajícího přívodu pitné vody. </w:t>
      </w:r>
    </w:p>
    <w:p w14:paraId="2AC55FCF" w14:textId="77777777" w:rsidR="0066606C" w:rsidRDefault="0066606C" w:rsidP="00B95378">
      <w:r w:rsidRPr="0066606C">
        <w:t>V chemickém rozboru pitné vody je uvedena poměrně vysoká hodnota tvrdosti – 19°dH, a vysoká konduktivita (měrná elektrická vodivost), to znamená, že pitná voda je poměrně vysoce mineralizovaná. Pro její eliminaci je navržena demi jednotka Aquina o průtoku cca 1,5 m3/h, přes kterou by se mělo provádět i napouštění soustavy v rámci rekonstrukce. Dle výrobce kotlů Hoval je max. hodnota tvrdosti napouštěcí vody 14°dH, ale pro životnost kotlů je vhodná nižší hodnota. Dle rozboru je převládajícím aniontem uhličitan, který při provozu nežádoucím způsobem zvyšuje pH oběhové vody, čemuž se instalací demi jednotky zabrání.“</w:t>
      </w:r>
    </w:p>
    <w:p w14:paraId="70F956A5" w14:textId="77777777" w:rsidR="0066606C" w:rsidRPr="0066606C" w:rsidRDefault="0066606C" w:rsidP="00B95378">
      <w:r>
        <w:rPr>
          <w:noProof/>
        </w:rPr>
        <w:lastRenderedPageBreak/>
        <w:drawing>
          <wp:inline distT="0" distB="0" distL="0" distR="0" wp14:anchorId="69704281" wp14:editId="12B43AEA">
            <wp:extent cx="3876675" cy="5769746"/>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86365" cy="5784167"/>
                    </a:xfrm>
                    <a:prstGeom prst="rect">
                      <a:avLst/>
                    </a:prstGeom>
                    <a:noFill/>
                    <a:ln>
                      <a:noFill/>
                    </a:ln>
                  </pic:spPr>
                </pic:pic>
              </a:graphicData>
            </a:graphic>
          </wp:inline>
        </w:drawing>
      </w:r>
    </w:p>
    <w:p w14:paraId="287DFEF7" w14:textId="77777777" w:rsidR="0066606C" w:rsidRPr="0066606C" w:rsidRDefault="0066606C" w:rsidP="0066606C">
      <w:pPr>
        <w:pStyle w:val="Nadpis2"/>
        <w:numPr>
          <w:ilvl w:val="1"/>
          <w:numId w:val="7"/>
        </w:numPr>
      </w:pPr>
      <w:bookmarkStart w:id="3" w:name="_Toc499816219"/>
      <w:r w:rsidRPr="0066606C">
        <w:t>Ohřev TV</w:t>
      </w:r>
    </w:p>
    <w:p w14:paraId="04AB0980" w14:textId="77777777" w:rsidR="0066606C" w:rsidRPr="0066606C" w:rsidRDefault="0066606C" w:rsidP="0066606C">
      <w:r w:rsidRPr="0066606C">
        <w:t>Ohřev vody probíhá ve dvou stacionárních zásobnících Regulus RBC-750. Skupina ohříváků bude vybavena pojistnou skupinou armatur na vstupu pitné vody dle ČSN 06 0830. Na výstupu z ohříváků bude instalován regulační trojcestný uzávěr s pohonem, který bude hlídat, aby nebyla překročena maximální výstupní teplota z boilerů. Rozvody vody jsou napojeny na stávající.</w:t>
      </w:r>
    </w:p>
    <w:tbl>
      <w:tblPr>
        <w:tblW w:w="7845" w:type="dxa"/>
        <w:tblInd w:w="70" w:type="dxa"/>
        <w:tblCellMar>
          <w:left w:w="70" w:type="dxa"/>
          <w:right w:w="70" w:type="dxa"/>
        </w:tblCellMar>
        <w:tblLook w:val="04A0" w:firstRow="1" w:lastRow="0" w:firstColumn="1" w:lastColumn="0" w:noHBand="0" w:noVBand="1"/>
      </w:tblPr>
      <w:tblGrid>
        <w:gridCol w:w="2465"/>
        <w:gridCol w:w="146"/>
        <w:gridCol w:w="1282"/>
        <w:gridCol w:w="223"/>
        <w:gridCol w:w="222"/>
        <w:gridCol w:w="2547"/>
        <w:gridCol w:w="960"/>
      </w:tblGrid>
      <w:tr w:rsidR="0066606C" w:rsidRPr="0066606C" w14:paraId="322427BA" w14:textId="77777777" w:rsidTr="007848AB">
        <w:trPr>
          <w:trHeight w:val="315"/>
        </w:trPr>
        <w:tc>
          <w:tcPr>
            <w:tcW w:w="2611" w:type="dxa"/>
            <w:gridSpan w:val="2"/>
            <w:tcBorders>
              <w:top w:val="nil"/>
              <w:left w:val="nil"/>
              <w:bottom w:val="nil"/>
              <w:right w:val="nil"/>
            </w:tcBorders>
            <w:shd w:val="clear" w:color="auto" w:fill="auto"/>
            <w:noWrap/>
            <w:vAlign w:val="bottom"/>
            <w:hideMark/>
          </w:tcPr>
          <w:p w14:paraId="309816B8" w14:textId="77777777" w:rsidR="0066606C" w:rsidRPr="0066606C" w:rsidRDefault="0066606C" w:rsidP="007848AB">
            <w:pPr>
              <w:widowControl/>
              <w:suppressAutoHyphens w:val="0"/>
              <w:autoSpaceDE/>
              <w:spacing w:after="0" w:line="240" w:lineRule="auto"/>
              <w:ind w:firstLine="0"/>
              <w:jc w:val="left"/>
              <w:rPr>
                <w:rFonts w:ascii="Calibri" w:hAnsi="Calibri" w:cs="Calibri"/>
                <w:b/>
                <w:bCs/>
                <w:color w:val="000000"/>
                <w:szCs w:val="24"/>
                <w:lang w:eastAsia="cs-CZ"/>
              </w:rPr>
            </w:pPr>
            <w:r w:rsidRPr="0066606C">
              <w:rPr>
                <w:rFonts w:ascii="Calibri" w:hAnsi="Calibri" w:cs="Calibri"/>
                <w:b/>
                <w:bCs/>
                <w:color w:val="000000"/>
                <w:szCs w:val="24"/>
                <w:lang w:eastAsia="cs-CZ"/>
              </w:rPr>
              <w:t>Typ ohříváku TV:</w:t>
            </w:r>
          </w:p>
        </w:tc>
        <w:tc>
          <w:tcPr>
            <w:tcW w:w="1282" w:type="dxa"/>
            <w:tcBorders>
              <w:top w:val="nil"/>
              <w:left w:val="nil"/>
              <w:bottom w:val="nil"/>
              <w:right w:val="nil"/>
            </w:tcBorders>
            <w:shd w:val="clear" w:color="auto" w:fill="auto"/>
            <w:noWrap/>
            <w:vAlign w:val="bottom"/>
            <w:hideMark/>
          </w:tcPr>
          <w:p w14:paraId="55AC528E" w14:textId="77777777" w:rsidR="0066606C" w:rsidRPr="0066606C" w:rsidRDefault="0066606C" w:rsidP="007848AB">
            <w:pPr>
              <w:widowControl/>
              <w:suppressAutoHyphens w:val="0"/>
              <w:autoSpaceDE/>
              <w:spacing w:after="0" w:line="240" w:lineRule="auto"/>
              <w:ind w:firstLine="0"/>
              <w:jc w:val="left"/>
              <w:rPr>
                <w:rFonts w:ascii="Calibri" w:hAnsi="Calibri" w:cs="Calibri"/>
                <w:b/>
                <w:bCs/>
                <w:color w:val="000000"/>
                <w:szCs w:val="24"/>
                <w:lang w:eastAsia="cs-CZ"/>
              </w:rPr>
            </w:pPr>
          </w:p>
        </w:tc>
        <w:tc>
          <w:tcPr>
            <w:tcW w:w="2992" w:type="dxa"/>
            <w:gridSpan w:val="3"/>
            <w:tcBorders>
              <w:top w:val="nil"/>
              <w:left w:val="nil"/>
              <w:bottom w:val="nil"/>
              <w:right w:val="nil"/>
            </w:tcBorders>
            <w:shd w:val="clear" w:color="auto" w:fill="auto"/>
            <w:noWrap/>
            <w:vAlign w:val="bottom"/>
            <w:hideMark/>
          </w:tcPr>
          <w:p w14:paraId="4EE7F6E3" w14:textId="77777777" w:rsidR="0066606C" w:rsidRPr="0066606C" w:rsidRDefault="0066606C" w:rsidP="007848AB">
            <w:pPr>
              <w:widowControl/>
              <w:suppressAutoHyphens w:val="0"/>
              <w:autoSpaceDE/>
              <w:spacing w:after="0" w:line="240" w:lineRule="auto"/>
              <w:ind w:firstLine="0"/>
              <w:jc w:val="right"/>
              <w:rPr>
                <w:rFonts w:ascii="Calibri" w:hAnsi="Calibri" w:cs="Calibri"/>
                <w:b/>
                <w:bCs/>
                <w:color w:val="000000"/>
                <w:szCs w:val="24"/>
                <w:lang w:eastAsia="cs-CZ"/>
              </w:rPr>
            </w:pPr>
            <w:r w:rsidRPr="0066606C">
              <w:rPr>
                <w:rFonts w:ascii="Calibri" w:hAnsi="Calibri" w:cs="Calibri"/>
                <w:b/>
                <w:bCs/>
                <w:color w:val="000000"/>
                <w:szCs w:val="24"/>
                <w:lang w:eastAsia="cs-CZ"/>
              </w:rPr>
              <w:t>Regulus RBC-750</w:t>
            </w:r>
          </w:p>
        </w:tc>
        <w:tc>
          <w:tcPr>
            <w:tcW w:w="960" w:type="dxa"/>
            <w:tcBorders>
              <w:top w:val="nil"/>
              <w:left w:val="nil"/>
              <w:bottom w:val="nil"/>
              <w:right w:val="nil"/>
            </w:tcBorders>
            <w:shd w:val="clear" w:color="auto" w:fill="auto"/>
            <w:noWrap/>
            <w:vAlign w:val="bottom"/>
            <w:hideMark/>
          </w:tcPr>
          <w:p w14:paraId="33F7527C" w14:textId="77777777" w:rsidR="0066606C" w:rsidRPr="0066606C" w:rsidRDefault="0066606C" w:rsidP="007848AB">
            <w:pPr>
              <w:widowControl/>
              <w:suppressAutoHyphens w:val="0"/>
              <w:autoSpaceDE/>
              <w:spacing w:after="0" w:line="240" w:lineRule="auto"/>
              <w:ind w:firstLine="0"/>
              <w:jc w:val="right"/>
              <w:rPr>
                <w:rFonts w:ascii="Calibri" w:hAnsi="Calibri" w:cs="Calibri"/>
                <w:b/>
                <w:bCs/>
                <w:color w:val="000000"/>
                <w:szCs w:val="24"/>
                <w:lang w:eastAsia="cs-CZ"/>
              </w:rPr>
            </w:pPr>
          </w:p>
        </w:tc>
      </w:tr>
      <w:tr w:rsidR="0066606C" w:rsidRPr="0066606C" w14:paraId="57F4230B" w14:textId="77777777" w:rsidTr="007848AB">
        <w:trPr>
          <w:trHeight w:val="315"/>
        </w:trPr>
        <w:tc>
          <w:tcPr>
            <w:tcW w:w="3893" w:type="dxa"/>
            <w:gridSpan w:val="3"/>
            <w:tcBorders>
              <w:top w:val="nil"/>
              <w:left w:val="nil"/>
              <w:bottom w:val="nil"/>
              <w:right w:val="nil"/>
            </w:tcBorders>
            <w:shd w:val="clear" w:color="auto" w:fill="auto"/>
            <w:noWrap/>
            <w:vAlign w:val="bottom"/>
            <w:hideMark/>
          </w:tcPr>
          <w:p w14:paraId="3014EBC1" w14:textId="77777777" w:rsidR="0066606C" w:rsidRPr="0066606C" w:rsidRDefault="0066606C" w:rsidP="007848AB">
            <w:pPr>
              <w:widowControl/>
              <w:suppressAutoHyphens w:val="0"/>
              <w:autoSpaceDE/>
              <w:spacing w:after="0" w:line="240" w:lineRule="auto"/>
              <w:ind w:firstLine="0"/>
              <w:jc w:val="left"/>
              <w:rPr>
                <w:rFonts w:ascii="Calibri" w:hAnsi="Calibri" w:cs="Calibri"/>
                <w:color w:val="000000"/>
                <w:szCs w:val="24"/>
                <w:lang w:eastAsia="cs-CZ"/>
              </w:rPr>
            </w:pPr>
            <w:r w:rsidRPr="0066606C">
              <w:rPr>
                <w:rFonts w:ascii="Calibri" w:hAnsi="Calibri" w:cs="Calibri"/>
                <w:color w:val="000000"/>
                <w:szCs w:val="24"/>
                <w:lang w:eastAsia="cs-CZ"/>
              </w:rPr>
              <w:t>Objem zásobníku TV</w:t>
            </w:r>
          </w:p>
        </w:tc>
        <w:tc>
          <w:tcPr>
            <w:tcW w:w="223" w:type="dxa"/>
            <w:tcBorders>
              <w:top w:val="nil"/>
              <w:left w:val="nil"/>
              <w:bottom w:val="nil"/>
              <w:right w:val="nil"/>
            </w:tcBorders>
            <w:shd w:val="clear" w:color="auto" w:fill="auto"/>
            <w:noWrap/>
            <w:vAlign w:val="bottom"/>
            <w:hideMark/>
          </w:tcPr>
          <w:p w14:paraId="2DA51525" w14:textId="77777777" w:rsidR="0066606C" w:rsidRPr="0066606C" w:rsidRDefault="0066606C" w:rsidP="007848AB">
            <w:pPr>
              <w:widowControl/>
              <w:suppressAutoHyphens w:val="0"/>
              <w:autoSpaceDE/>
              <w:spacing w:after="0" w:line="240" w:lineRule="auto"/>
              <w:ind w:firstLine="0"/>
              <w:jc w:val="left"/>
              <w:rPr>
                <w:rFonts w:ascii="Calibri" w:hAnsi="Calibri" w:cs="Calibri"/>
                <w:color w:val="000000"/>
                <w:szCs w:val="24"/>
                <w:lang w:eastAsia="cs-CZ"/>
              </w:rPr>
            </w:pPr>
          </w:p>
        </w:tc>
        <w:tc>
          <w:tcPr>
            <w:tcW w:w="222" w:type="dxa"/>
            <w:tcBorders>
              <w:top w:val="nil"/>
              <w:left w:val="nil"/>
              <w:bottom w:val="nil"/>
              <w:right w:val="nil"/>
            </w:tcBorders>
            <w:shd w:val="clear" w:color="auto" w:fill="auto"/>
            <w:noWrap/>
            <w:vAlign w:val="bottom"/>
            <w:hideMark/>
          </w:tcPr>
          <w:p w14:paraId="3128F19A" w14:textId="77777777" w:rsidR="0066606C" w:rsidRPr="0066606C" w:rsidRDefault="0066606C" w:rsidP="007848AB">
            <w:pPr>
              <w:widowControl/>
              <w:suppressAutoHyphens w:val="0"/>
              <w:autoSpaceDE/>
              <w:spacing w:after="0" w:line="240" w:lineRule="auto"/>
              <w:ind w:firstLine="0"/>
              <w:jc w:val="left"/>
              <w:rPr>
                <w:rFonts w:ascii="Times New Roman" w:hAnsi="Times New Roman" w:cs="Times New Roman"/>
                <w:sz w:val="20"/>
                <w:lang w:eastAsia="cs-CZ"/>
              </w:rPr>
            </w:pPr>
          </w:p>
        </w:tc>
        <w:tc>
          <w:tcPr>
            <w:tcW w:w="2547" w:type="dxa"/>
            <w:tcBorders>
              <w:top w:val="nil"/>
              <w:left w:val="nil"/>
              <w:bottom w:val="nil"/>
              <w:right w:val="nil"/>
            </w:tcBorders>
            <w:shd w:val="clear" w:color="auto" w:fill="auto"/>
            <w:noWrap/>
            <w:vAlign w:val="bottom"/>
            <w:hideMark/>
          </w:tcPr>
          <w:p w14:paraId="0AC96D87" w14:textId="77777777" w:rsidR="0066606C" w:rsidRPr="0066606C" w:rsidRDefault="0066606C" w:rsidP="007848AB">
            <w:pPr>
              <w:widowControl/>
              <w:suppressAutoHyphens w:val="0"/>
              <w:autoSpaceDE/>
              <w:spacing w:after="0" w:line="240" w:lineRule="auto"/>
              <w:ind w:firstLine="0"/>
              <w:jc w:val="right"/>
              <w:rPr>
                <w:rFonts w:ascii="Calibri" w:hAnsi="Calibri" w:cs="Calibri"/>
                <w:color w:val="000000"/>
                <w:szCs w:val="24"/>
                <w:lang w:eastAsia="cs-CZ"/>
              </w:rPr>
            </w:pPr>
            <w:r w:rsidRPr="0066606C">
              <w:rPr>
                <w:rFonts w:ascii="Calibri" w:hAnsi="Calibri" w:cs="Calibri"/>
                <w:color w:val="000000"/>
                <w:szCs w:val="24"/>
                <w:lang w:eastAsia="cs-CZ"/>
              </w:rPr>
              <w:t>750</w:t>
            </w:r>
          </w:p>
        </w:tc>
        <w:tc>
          <w:tcPr>
            <w:tcW w:w="960" w:type="dxa"/>
            <w:tcBorders>
              <w:top w:val="nil"/>
              <w:left w:val="nil"/>
              <w:bottom w:val="nil"/>
              <w:right w:val="nil"/>
            </w:tcBorders>
            <w:shd w:val="clear" w:color="auto" w:fill="auto"/>
            <w:noWrap/>
            <w:vAlign w:val="bottom"/>
            <w:hideMark/>
          </w:tcPr>
          <w:p w14:paraId="6C7B7994" w14:textId="77777777" w:rsidR="0066606C" w:rsidRPr="0066606C" w:rsidRDefault="0066606C" w:rsidP="007848AB">
            <w:pPr>
              <w:widowControl/>
              <w:suppressAutoHyphens w:val="0"/>
              <w:autoSpaceDE/>
              <w:spacing w:after="0" w:line="240" w:lineRule="auto"/>
              <w:ind w:firstLine="0"/>
              <w:jc w:val="left"/>
              <w:rPr>
                <w:rFonts w:ascii="Calibri" w:hAnsi="Calibri" w:cs="Calibri"/>
                <w:color w:val="000000"/>
                <w:szCs w:val="24"/>
                <w:lang w:eastAsia="cs-CZ"/>
              </w:rPr>
            </w:pPr>
            <w:r w:rsidRPr="0066606C">
              <w:rPr>
                <w:rFonts w:ascii="Calibri" w:hAnsi="Calibri" w:cs="Calibri"/>
                <w:color w:val="000000"/>
                <w:szCs w:val="24"/>
                <w:lang w:eastAsia="cs-CZ"/>
              </w:rPr>
              <w:t>litrů</w:t>
            </w:r>
          </w:p>
        </w:tc>
      </w:tr>
      <w:tr w:rsidR="0066606C" w:rsidRPr="0066606C" w14:paraId="0B4BBF90" w14:textId="77777777" w:rsidTr="007848AB">
        <w:trPr>
          <w:trHeight w:val="315"/>
        </w:trPr>
        <w:tc>
          <w:tcPr>
            <w:tcW w:w="2465" w:type="dxa"/>
            <w:tcBorders>
              <w:top w:val="nil"/>
              <w:left w:val="nil"/>
              <w:bottom w:val="nil"/>
              <w:right w:val="nil"/>
            </w:tcBorders>
            <w:shd w:val="clear" w:color="auto" w:fill="auto"/>
            <w:noWrap/>
            <w:vAlign w:val="bottom"/>
            <w:hideMark/>
          </w:tcPr>
          <w:p w14:paraId="4BF135A3" w14:textId="77777777" w:rsidR="0066606C" w:rsidRPr="0066606C" w:rsidRDefault="0066606C" w:rsidP="007848AB">
            <w:pPr>
              <w:widowControl/>
              <w:suppressAutoHyphens w:val="0"/>
              <w:autoSpaceDE/>
              <w:spacing w:after="0" w:line="240" w:lineRule="auto"/>
              <w:ind w:firstLine="0"/>
              <w:jc w:val="left"/>
              <w:rPr>
                <w:rFonts w:ascii="Calibri" w:hAnsi="Calibri" w:cs="Calibri"/>
                <w:color w:val="000000"/>
                <w:szCs w:val="24"/>
                <w:lang w:eastAsia="cs-CZ"/>
              </w:rPr>
            </w:pPr>
          </w:p>
        </w:tc>
        <w:tc>
          <w:tcPr>
            <w:tcW w:w="146" w:type="dxa"/>
            <w:tcBorders>
              <w:top w:val="nil"/>
              <w:left w:val="nil"/>
              <w:bottom w:val="nil"/>
              <w:right w:val="nil"/>
            </w:tcBorders>
            <w:shd w:val="clear" w:color="auto" w:fill="auto"/>
            <w:noWrap/>
            <w:vAlign w:val="bottom"/>
            <w:hideMark/>
          </w:tcPr>
          <w:p w14:paraId="7FA3837B" w14:textId="77777777" w:rsidR="0066606C" w:rsidRPr="0066606C" w:rsidRDefault="0066606C" w:rsidP="007848AB">
            <w:pPr>
              <w:widowControl/>
              <w:suppressAutoHyphens w:val="0"/>
              <w:autoSpaceDE/>
              <w:spacing w:after="0" w:line="240" w:lineRule="auto"/>
              <w:ind w:firstLine="0"/>
              <w:jc w:val="left"/>
              <w:rPr>
                <w:rFonts w:ascii="Times New Roman" w:hAnsi="Times New Roman" w:cs="Times New Roman"/>
                <w:sz w:val="20"/>
                <w:lang w:eastAsia="cs-CZ"/>
              </w:rPr>
            </w:pPr>
          </w:p>
        </w:tc>
        <w:tc>
          <w:tcPr>
            <w:tcW w:w="1282" w:type="dxa"/>
            <w:tcBorders>
              <w:top w:val="nil"/>
              <w:left w:val="nil"/>
              <w:bottom w:val="nil"/>
              <w:right w:val="nil"/>
            </w:tcBorders>
            <w:shd w:val="clear" w:color="auto" w:fill="auto"/>
            <w:noWrap/>
            <w:vAlign w:val="bottom"/>
            <w:hideMark/>
          </w:tcPr>
          <w:p w14:paraId="3EF7FAA6" w14:textId="77777777" w:rsidR="0066606C" w:rsidRPr="0066606C" w:rsidRDefault="0066606C" w:rsidP="007848AB">
            <w:pPr>
              <w:widowControl/>
              <w:suppressAutoHyphens w:val="0"/>
              <w:autoSpaceDE/>
              <w:spacing w:after="0" w:line="240" w:lineRule="auto"/>
              <w:ind w:firstLine="0"/>
              <w:jc w:val="left"/>
              <w:rPr>
                <w:rFonts w:ascii="Times New Roman" w:hAnsi="Times New Roman" w:cs="Times New Roman"/>
                <w:sz w:val="20"/>
                <w:lang w:eastAsia="cs-CZ"/>
              </w:rPr>
            </w:pPr>
          </w:p>
        </w:tc>
        <w:tc>
          <w:tcPr>
            <w:tcW w:w="223" w:type="dxa"/>
            <w:tcBorders>
              <w:top w:val="nil"/>
              <w:left w:val="nil"/>
              <w:bottom w:val="nil"/>
              <w:right w:val="nil"/>
            </w:tcBorders>
            <w:shd w:val="clear" w:color="auto" w:fill="auto"/>
            <w:noWrap/>
            <w:vAlign w:val="bottom"/>
            <w:hideMark/>
          </w:tcPr>
          <w:p w14:paraId="4A577A9C" w14:textId="77777777" w:rsidR="0066606C" w:rsidRPr="0066606C" w:rsidRDefault="0066606C" w:rsidP="007848AB">
            <w:pPr>
              <w:widowControl/>
              <w:suppressAutoHyphens w:val="0"/>
              <w:autoSpaceDE/>
              <w:spacing w:after="0" w:line="240" w:lineRule="auto"/>
              <w:ind w:firstLine="0"/>
              <w:jc w:val="left"/>
              <w:rPr>
                <w:rFonts w:ascii="Times New Roman" w:hAnsi="Times New Roman" w:cs="Times New Roman"/>
                <w:sz w:val="20"/>
                <w:lang w:eastAsia="cs-CZ"/>
              </w:rPr>
            </w:pPr>
          </w:p>
        </w:tc>
        <w:tc>
          <w:tcPr>
            <w:tcW w:w="222" w:type="dxa"/>
            <w:tcBorders>
              <w:top w:val="nil"/>
              <w:left w:val="nil"/>
              <w:bottom w:val="nil"/>
              <w:right w:val="nil"/>
            </w:tcBorders>
            <w:shd w:val="clear" w:color="auto" w:fill="auto"/>
            <w:noWrap/>
            <w:vAlign w:val="bottom"/>
            <w:hideMark/>
          </w:tcPr>
          <w:p w14:paraId="19079761" w14:textId="77777777" w:rsidR="0066606C" w:rsidRPr="0066606C" w:rsidRDefault="0066606C" w:rsidP="007848AB">
            <w:pPr>
              <w:widowControl/>
              <w:suppressAutoHyphens w:val="0"/>
              <w:autoSpaceDE/>
              <w:spacing w:after="0" w:line="240" w:lineRule="auto"/>
              <w:ind w:firstLine="0"/>
              <w:jc w:val="left"/>
              <w:rPr>
                <w:rFonts w:ascii="Times New Roman" w:hAnsi="Times New Roman" w:cs="Times New Roman"/>
                <w:sz w:val="20"/>
                <w:lang w:eastAsia="cs-CZ"/>
              </w:rPr>
            </w:pPr>
          </w:p>
        </w:tc>
        <w:tc>
          <w:tcPr>
            <w:tcW w:w="2547" w:type="dxa"/>
            <w:tcBorders>
              <w:top w:val="nil"/>
              <w:left w:val="nil"/>
              <w:bottom w:val="nil"/>
              <w:right w:val="nil"/>
            </w:tcBorders>
            <w:shd w:val="clear" w:color="auto" w:fill="auto"/>
            <w:noWrap/>
            <w:vAlign w:val="bottom"/>
            <w:hideMark/>
          </w:tcPr>
          <w:p w14:paraId="53471C82" w14:textId="77777777" w:rsidR="0066606C" w:rsidRPr="0066606C" w:rsidRDefault="0066606C" w:rsidP="007848AB">
            <w:pPr>
              <w:widowControl/>
              <w:suppressAutoHyphens w:val="0"/>
              <w:autoSpaceDE/>
              <w:spacing w:after="0" w:line="240" w:lineRule="auto"/>
              <w:ind w:firstLine="0"/>
              <w:jc w:val="left"/>
              <w:rPr>
                <w:rFonts w:ascii="Times New Roman" w:hAnsi="Times New Roman" w:cs="Times New Roman"/>
                <w:sz w:val="20"/>
                <w:lang w:eastAsia="cs-CZ"/>
              </w:rPr>
            </w:pPr>
          </w:p>
        </w:tc>
        <w:tc>
          <w:tcPr>
            <w:tcW w:w="960" w:type="dxa"/>
            <w:tcBorders>
              <w:top w:val="nil"/>
              <w:left w:val="nil"/>
              <w:bottom w:val="nil"/>
              <w:right w:val="nil"/>
            </w:tcBorders>
            <w:shd w:val="clear" w:color="auto" w:fill="auto"/>
            <w:noWrap/>
            <w:vAlign w:val="bottom"/>
            <w:hideMark/>
          </w:tcPr>
          <w:p w14:paraId="6A1D90E0" w14:textId="77777777" w:rsidR="0066606C" w:rsidRPr="0066606C" w:rsidRDefault="0066606C" w:rsidP="007848AB">
            <w:pPr>
              <w:widowControl/>
              <w:suppressAutoHyphens w:val="0"/>
              <w:autoSpaceDE/>
              <w:spacing w:after="0" w:line="240" w:lineRule="auto"/>
              <w:ind w:firstLine="0"/>
              <w:jc w:val="left"/>
              <w:rPr>
                <w:rFonts w:ascii="Times New Roman" w:hAnsi="Times New Roman" w:cs="Times New Roman"/>
                <w:sz w:val="20"/>
                <w:lang w:eastAsia="cs-CZ"/>
              </w:rPr>
            </w:pPr>
          </w:p>
        </w:tc>
      </w:tr>
      <w:tr w:rsidR="0066606C" w:rsidRPr="0066606C" w14:paraId="4BE7D9DA" w14:textId="77777777" w:rsidTr="007848AB">
        <w:trPr>
          <w:trHeight w:val="315"/>
        </w:trPr>
        <w:tc>
          <w:tcPr>
            <w:tcW w:w="3893" w:type="dxa"/>
            <w:gridSpan w:val="3"/>
            <w:tcBorders>
              <w:top w:val="nil"/>
              <w:left w:val="nil"/>
              <w:bottom w:val="nil"/>
              <w:right w:val="nil"/>
            </w:tcBorders>
            <w:shd w:val="clear" w:color="auto" w:fill="auto"/>
            <w:noWrap/>
            <w:vAlign w:val="bottom"/>
            <w:hideMark/>
          </w:tcPr>
          <w:p w14:paraId="7400B726" w14:textId="77777777" w:rsidR="0066606C" w:rsidRPr="0066606C" w:rsidRDefault="0066606C" w:rsidP="007848AB">
            <w:pPr>
              <w:widowControl/>
              <w:suppressAutoHyphens w:val="0"/>
              <w:autoSpaceDE/>
              <w:spacing w:after="0" w:line="240" w:lineRule="auto"/>
              <w:ind w:firstLine="0"/>
              <w:jc w:val="left"/>
              <w:rPr>
                <w:rFonts w:ascii="Calibri" w:hAnsi="Calibri" w:cs="Calibri"/>
                <w:b/>
                <w:bCs/>
                <w:color w:val="000000"/>
                <w:szCs w:val="24"/>
                <w:lang w:eastAsia="cs-CZ"/>
              </w:rPr>
            </w:pPr>
            <w:r w:rsidRPr="0066606C">
              <w:rPr>
                <w:rFonts w:ascii="Calibri" w:hAnsi="Calibri" w:cs="Calibri"/>
                <w:b/>
                <w:bCs/>
                <w:color w:val="000000"/>
                <w:szCs w:val="24"/>
                <w:lang w:eastAsia="cs-CZ"/>
              </w:rPr>
              <w:t xml:space="preserve">Teplota TV </w:t>
            </w:r>
            <w:proofErr w:type="gramStart"/>
            <w:r w:rsidRPr="0066606C">
              <w:rPr>
                <w:rFonts w:ascii="Calibri" w:hAnsi="Calibri" w:cs="Calibri"/>
                <w:b/>
                <w:bCs/>
                <w:color w:val="000000"/>
                <w:szCs w:val="24"/>
                <w:lang w:eastAsia="cs-CZ"/>
              </w:rPr>
              <w:t>45°C</w:t>
            </w:r>
            <w:proofErr w:type="gramEnd"/>
            <w:r w:rsidRPr="0066606C">
              <w:rPr>
                <w:rFonts w:ascii="Calibri" w:hAnsi="Calibri" w:cs="Calibri"/>
                <w:b/>
                <w:bCs/>
                <w:color w:val="000000"/>
                <w:szCs w:val="24"/>
                <w:lang w:eastAsia="cs-CZ"/>
              </w:rPr>
              <w:t>, ÚT 80°C</w:t>
            </w:r>
          </w:p>
        </w:tc>
        <w:tc>
          <w:tcPr>
            <w:tcW w:w="223" w:type="dxa"/>
            <w:tcBorders>
              <w:top w:val="nil"/>
              <w:left w:val="nil"/>
              <w:bottom w:val="nil"/>
              <w:right w:val="nil"/>
            </w:tcBorders>
            <w:shd w:val="clear" w:color="auto" w:fill="auto"/>
            <w:noWrap/>
            <w:vAlign w:val="bottom"/>
            <w:hideMark/>
          </w:tcPr>
          <w:p w14:paraId="5A7F23B7" w14:textId="77777777" w:rsidR="0066606C" w:rsidRPr="0066606C" w:rsidRDefault="0066606C" w:rsidP="007848AB">
            <w:pPr>
              <w:widowControl/>
              <w:suppressAutoHyphens w:val="0"/>
              <w:autoSpaceDE/>
              <w:spacing w:after="0" w:line="240" w:lineRule="auto"/>
              <w:ind w:firstLine="0"/>
              <w:jc w:val="left"/>
              <w:rPr>
                <w:rFonts w:ascii="Calibri" w:hAnsi="Calibri" w:cs="Calibri"/>
                <w:b/>
                <w:bCs/>
                <w:color w:val="000000"/>
                <w:szCs w:val="24"/>
                <w:lang w:eastAsia="cs-CZ"/>
              </w:rPr>
            </w:pPr>
          </w:p>
        </w:tc>
        <w:tc>
          <w:tcPr>
            <w:tcW w:w="222" w:type="dxa"/>
            <w:tcBorders>
              <w:top w:val="nil"/>
              <w:left w:val="nil"/>
              <w:bottom w:val="nil"/>
              <w:right w:val="nil"/>
            </w:tcBorders>
            <w:shd w:val="clear" w:color="auto" w:fill="auto"/>
            <w:noWrap/>
            <w:vAlign w:val="bottom"/>
            <w:hideMark/>
          </w:tcPr>
          <w:p w14:paraId="5A8A0782" w14:textId="77777777" w:rsidR="0066606C" w:rsidRPr="0066606C" w:rsidRDefault="0066606C" w:rsidP="007848AB">
            <w:pPr>
              <w:widowControl/>
              <w:suppressAutoHyphens w:val="0"/>
              <w:autoSpaceDE/>
              <w:spacing w:after="0" w:line="240" w:lineRule="auto"/>
              <w:ind w:firstLine="0"/>
              <w:jc w:val="left"/>
              <w:rPr>
                <w:rFonts w:ascii="Times New Roman" w:hAnsi="Times New Roman" w:cs="Times New Roman"/>
                <w:sz w:val="20"/>
                <w:lang w:eastAsia="cs-CZ"/>
              </w:rPr>
            </w:pPr>
          </w:p>
        </w:tc>
        <w:tc>
          <w:tcPr>
            <w:tcW w:w="2547" w:type="dxa"/>
            <w:tcBorders>
              <w:top w:val="nil"/>
              <w:left w:val="nil"/>
              <w:bottom w:val="nil"/>
              <w:right w:val="nil"/>
            </w:tcBorders>
            <w:shd w:val="clear" w:color="auto" w:fill="auto"/>
            <w:noWrap/>
            <w:vAlign w:val="bottom"/>
            <w:hideMark/>
          </w:tcPr>
          <w:p w14:paraId="7C4EF2DF" w14:textId="77777777" w:rsidR="0066606C" w:rsidRPr="0066606C" w:rsidRDefault="0066606C" w:rsidP="007848AB">
            <w:pPr>
              <w:widowControl/>
              <w:suppressAutoHyphens w:val="0"/>
              <w:autoSpaceDE/>
              <w:spacing w:after="0" w:line="240" w:lineRule="auto"/>
              <w:ind w:firstLine="0"/>
              <w:jc w:val="left"/>
              <w:rPr>
                <w:rFonts w:ascii="Times New Roman" w:hAnsi="Times New Roman" w:cs="Times New Roman"/>
                <w:sz w:val="20"/>
                <w:lang w:eastAsia="cs-CZ"/>
              </w:rPr>
            </w:pPr>
          </w:p>
        </w:tc>
        <w:tc>
          <w:tcPr>
            <w:tcW w:w="960" w:type="dxa"/>
            <w:tcBorders>
              <w:top w:val="nil"/>
              <w:left w:val="nil"/>
              <w:bottom w:val="nil"/>
              <w:right w:val="nil"/>
            </w:tcBorders>
            <w:shd w:val="clear" w:color="auto" w:fill="auto"/>
            <w:noWrap/>
            <w:vAlign w:val="bottom"/>
            <w:hideMark/>
          </w:tcPr>
          <w:p w14:paraId="7BC83D62" w14:textId="77777777" w:rsidR="0066606C" w:rsidRPr="0066606C" w:rsidRDefault="0066606C" w:rsidP="007848AB">
            <w:pPr>
              <w:widowControl/>
              <w:suppressAutoHyphens w:val="0"/>
              <w:autoSpaceDE/>
              <w:spacing w:after="0" w:line="240" w:lineRule="auto"/>
              <w:ind w:firstLine="0"/>
              <w:jc w:val="left"/>
              <w:rPr>
                <w:rFonts w:ascii="Times New Roman" w:hAnsi="Times New Roman" w:cs="Times New Roman"/>
                <w:sz w:val="20"/>
                <w:lang w:eastAsia="cs-CZ"/>
              </w:rPr>
            </w:pPr>
          </w:p>
        </w:tc>
      </w:tr>
      <w:tr w:rsidR="0066606C" w:rsidRPr="0066606C" w14:paraId="11AF4840" w14:textId="77777777" w:rsidTr="007848AB">
        <w:trPr>
          <w:trHeight w:val="315"/>
        </w:trPr>
        <w:tc>
          <w:tcPr>
            <w:tcW w:w="4338" w:type="dxa"/>
            <w:gridSpan w:val="5"/>
            <w:tcBorders>
              <w:top w:val="nil"/>
              <w:left w:val="nil"/>
              <w:bottom w:val="nil"/>
              <w:right w:val="nil"/>
            </w:tcBorders>
            <w:shd w:val="clear" w:color="auto" w:fill="auto"/>
            <w:noWrap/>
            <w:vAlign w:val="bottom"/>
            <w:hideMark/>
          </w:tcPr>
          <w:p w14:paraId="189D66C6" w14:textId="77777777" w:rsidR="0066606C" w:rsidRPr="0066606C" w:rsidRDefault="0066606C" w:rsidP="007848AB">
            <w:pPr>
              <w:widowControl/>
              <w:suppressAutoHyphens w:val="0"/>
              <w:autoSpaceDE/>
              <w:spacing w:after="0" w:line="240" w:lineRule="auto"/>
              <w:ind w:firstLine="0"/>
              <w:jc w:val="left"/>
              <w:rPr>
                <w:rFonts w:ascii="Calibri" w:hAnsi="Calibri" w:cs="Calibri"/>
                <w:color w:val="000000"/>
                <w:szCs w:val="24"/>
                <w:lang w:eastAsia="cs-CZ"/>
              </w:rPr>
            </w:pPr>
            <w:r w:rsidRPr="0066606C">
              <w:rPr>
                <w:rFonts w:ascii="Calibri" w:hAnsi="Calibri" w:cs="Calibri"/>
                <w:color w:val="000000"/>
                <w:szCs w:val="24"/>
                <w:lang w:eastAsia="cs-CZ"/>
              </w:rPr>
              <w:t>Trvalý výkon teplé vody</w:t>
            </w:r>
          </w:p>
        </w:tc>
        <w:tc>
          <w:tcPr>
            <w:tcW w:w="2547" w:type="dxa"/>
            <w:tcBorders>
              <w:top w:val="nil"/>
              <w:left w:val="nil"/>
              <w:bottom w:val="nil"/>
              <w:right w:val="nil"/>
            </w:tcBorders>
            <w:shd w:val="clear" w:color="auto" w:fill="auto"/>
            <w:noWrap/>
            <w:vAlign w:val="bottom"/>
            <w:hideMark/>
          </w:tcPr>
          <w:p w14:paraId="697C86F4" w14:textId="77777777" w:rsidR="0066606C" w:rsidRPr="0066606C" w:rsidRDefault="0066606C" w:rsidP="007848AB">
            <w:pPr>
              <w:widowControl/>
              <w:suppressAutoHyphens w:val="0"/>
              <w:autoSpaceDE/>
              <w:spacing w:after="0" w:line="240" w:lineRule="auto"/>
              <w:ind w:firstLine="0"/>
              <w:jc w:val="right"/>
              <w:rPr>
                <w:rFonts w:ascii="Calibri" w:hAnsi="Calibri" w:cs="Calibri"/>
                <w:color w:val="000000"/>
                <w:szCs w:val="24"/>
                <w:lang w:eastAsia="cs-CZ"/>
              </w:rPr>
            </w:pPr>
            <w:r w:rsidRPr="0066606C">
              <w:rPr>
                <w:rFonts w:ascii="Calibri" w:hAnsi="Calibri" w:cs="Calibri"/>
                <w:color w:val="000000"/>
                <w:szCs w:val="24"/>
                <w:lang w:eastAsia="cs-CZ"/>
              </w:rPr>
              <w:t>2780</w:t>
            </w:r>
          </w:p>
        </w:tc>
        <w:tc>
          <w:tcPr>
            <w:tcW w:w="960" w:type="dxa"/>
            <w:tcBorders>
              <w:top w:val="nil"/>
              <w:left w:val="nil"/>
              <w:bottom w:val="nil"/>
              <w:right w:val="nil"/>
            </w:tcBorders>
            <w:shd w:val="clear" w:color="auto" w:fill="auto"/>
            <w:noWrap/>
            <w:vAlign w:val="bottom"/>
            <w:hideMark/>
          </w:tcPr>
          <w:p w14:paraId="6952345A" w14:textId="77777777" w:rsidR="0066606C" w:rsidRPr="0066606C" w:rsidRDefault="0066606C" w:rsidP="007848AB">
            <w:pPr>
              <w:widowControl/>
              <w:suppressAutoHyphens w:val="0"/>
              <w:autoSpaceDE/>
              <w:spacing w:after="0" w:line="240" w:lineRule="auto"/>
              <w:ind w:firstLine="0"/>
              <w:jc w:val="left"/>
              <w:rPr>
                <w:rFonts w:ascii="Calibri" w:hAnsi="Calibri" w:cs="Calibri"/>
                <w:color w:val="000000"/>
                <w:szCs w:val="24"/>
                <w:lang w:eastAsia="cs-CZ"/>
              </w:rPr>
            </w:pPr>
            <w:r w:rsidRPr="0066606C">
              <w:rPr>
                <w:rFonts w:ascii="Calibri" w:hAnsi="Calibri" w:cs="Calibri"/>
                <w:color w:val="000000"/>
                <w:szCs w:val="24"/>
                <w:lang w:eastAsia="cs-CZ"/>
              </w:rPr>
              <w:t>l/h</w:t>
            </w:r>
          </w:p>
        </w:tc>
      </w:tr>
      <w:tr w:rsidR="0066606C" w:rsidRPr="0066606C" w14:paraId="56816BE4" w14:textId="77777777" w:rsidTr="007848AB">
        <w:trPr>
          <w:trHeight w:val="315"/>
        </w:trPr>
        <w:tc>
          <w:tcPr>
            <w:tcW w:w="3893" w:type="dxa"/>
            <w:gridSpan w:val="3"/>
            <w:tcBorders>
              <w:top w:val="nil"/>
              <w:left w:val="nil"/>
              <w:bottom w:val="nil"/>
              <w:right w:val="nil"/>
            </w:tcBorders>
            <w:shd w:val="clear" w:color="auto" w:fill="auto"/>
            <w:noWrap/>
            <w:vAlign w:val="bottom"/>
            <w:hideMark/>
          </w:tcPr>
          <w:p w14:paraId="0C7373C7" w14:textId="77777777" w:rsidR="0066606C" w:rsidRPr="0066606C" w:rsidRDefault="0066606C" w:rsidP="007848AB">
            <w:pPr>
              <w:widowControl/>
              <w:suppressAutoHyphens w:val="0"/>
              <w:autoSpaceDE/>
              <w:spacing w:after="0" w:line="240" w:lineRule="auto"/>
              <w:ind w:firstLine="0"/>
              <w:jc w:val="left"/>
              <w:rPr>
                <w:rFonts w:ascii="Calibri" w:hAnsi="Calibri" w:cs="Calibri"/>
                <w:color w:val="000000"/>
                <w:szCs w:val="24"/>
                <w:lang w:eastAsia="cs-CZ"/>
              </w:rPr>
            </w:pPr>
            <w:r w:rsidRPr="0066606C">
              <w:rPr>
                <w:rFonts w:ascii="Calibri" w:hAnsi="Calibri" w:cs="Calibri"/>
                <w:color w:val="000000"/>
                <w:szCs w:val="24"/>
                <w:lang w:eastAsia="cs-CZ"/>
              </w:rPr>
              <w:t>Příkon výměníku</w:t>
            </w:r>
          </w:p>
        </w:tc>
        <w:tc>
          <w:tcPr>
            <w:tcW w:w="223" w:type="dxa"/>
            <w:tcBorders>
              <w:top w:val="nil"/>
              <w:left w:val="nil"/>
              <w:bottom w:val="nil"/>
              <w:right w:val="nil"/>
            </w:tcBorders>
            <w:shd w:val="clear" w:color="auto" w:fill="auto"/>
            <w:noWrap/>
            <w:vAlign w:val="center"/>
            <w:hideMark/>
          </w:tcPr>
          <w:p w14:paraId="442D596F" w14:textId="77777777" w:rsidR="0066606C" w:rsidRPr="0066606C" w:rsidRDefault="0066606C" w:rsidP="007848AB">
            <w:pPr>
              <w:widowControl/>
              <w:suppressAutoHyphens w:val="0"/>
              <w:autoSpaceDE/>
              <w:spacing w:after="0" w:line="240" w:lineRule="auto"/>
              <w:ind w:firstLine="0"/>
              <w:jc w:val="left"/>
              <w:rPr>
                <w:rFonts w:ascii="Calibri" w:hAnsi="Calibri" w:cs="Calibri"/>
                <w:color w:val="000000"/>
                <w:szCs w:val="24"/>
                <w:lang w:eastAsia="cs-CZ"/>
              </w:rPr>
            </w:pPr>
          </w:p>
        </w:tc>
        <w:tc>
          <w:tcPr>
            <w:tcW w:w="222" w:type="dxa"/>
            <w:tcBorders>
              <w:top w:val="nil"/>
              <w:left w:val="nil"/>
              <w:bottom w:val="nil"/>
              <w:right w:val="nil"/>
            </w:tcBorders>
            <w:shd w:val="clear" w:color="auto" w:fill="auto"/>
            <w:noWrap/>
            <w:vAlign w:val="center"/>
            <w:hideMark/>
          </w:tcPr>
          <w:p w14:paraId="1ACCBD63" w14:textId="77777777" w:rsidR="0066606C" w:rsidRPr="0066606C" w:rsidRDefault="0066606C" w:rsidP="007848AB">
            <w:pPr>
              <w:widowControl/>
              <w:suppressAutoHyphens w:val="0"/>
              <w:autoSpaceDE/>
              <w:spacing w:after="0" w:line="240" w:lineRule="auto"/>
              <w:ind w:firstLine="0"/>
              <w:jc w:val="center"/>
              <w:rPr>
                <w:rFonts w:ascii="Times New Roman" w:hAnsi="Times New Roman" w:cs="Times New Roman"/>
                <w:sz w:val="20"/>
                <w:lang w:eastAsia="cs-CZ"/>
              </w:rPr>
            </w:pPr>
          </w:p>
        </w:tc>
        <w:tc>
          <w:tcPr>
            <w:tcW w:w="2547" w:type="dxa"/>
            <w:tcBorders>
              <w:top w:val="nil"/>
              <w:left w:val="nil"/>
              <w:bottom w:val="nil"/>
              <w:right w:val="nil"/>
            </w:tcBorders>
            <w:shd w:val="clear" w:color="auto" w:fill="auto"/>
            <w:noWrap/>
            <w:vAlign w:val="bottom"/>
            <w:hideMark/>
          </w:tcPr>
          <w:p w14:paraId="3B8A2C13" w14:textId="77777777" w:rsidR="0066606C" w:rsidRPr="0066606C" w:rsidRDefault="0066606C" w:rsidP="007848AB">
            <w:pPr>
              <w:widowControl/>
              <w:suppressAutoHyphens w:val="0"/>
              <w:autoSpaceDE/>
              <w:spacing w:after="0" w:line="240" w:lineRule="auto"/>
              <w:ind w:firstLine="0"/>
              <w:jc w:val="right"/>
              <w:rPr>
                <w:rFonts w:ascii="Calibri" w:hAnsi="Calibri" w:cs="Calibri"/>
                <w:color w:val="000000"/>
                <w:szCs w:val="24"/>
                <w:lang w:eastAsia="cs-CZ"/>
              </w:rPr>
            </w:pPr>
            <w:r w:rsidRPr="0066606C">
              <w:rPr>
                <w:rFonts w:ascii="Calibri" w:hAnsi="Calibri" w:cs="Calibri"/>
                <w:color w:val="000000"/>
                <w:szCs w:val="24"/>
                <w:lang w:eastAsia="cs-CZ"/>
              </w:rPr>
              <w:t>112,7</w:t>
            </w:r>
          </w:p>
        </w:tc>
        <w:tc>
          <w:tcPr>
            <w:tcW w:w="960" w:type="dxa"/>
            <w:tcBorders>
              <w:top w:val="nil"/>
              <w:left w:val="nil"/>
              <w:bottom w:val="nil"/>
              <w:right w:val="nil"/>
            </w:tcBorders>
            <w:shd w:val="clear" w:color="auto" w:fill="auto"/>
            <w:noWrap/>
            <w:vAlign w:val="bottom"/>
            <w:hideMark/>
          </w:tcPr>
          <w:p w14:paraId="3EC995B7" w14:textId="77777777" w:rsidR="0066606C" w:rsidRPr="0066606C" w:rsidRDefault="0066606C" w:rsidP="007848AB">
            <w:pPr>
              <w:widowControl/>
              <w:suppressAutoHyphens w:val="0"/>
              <w:autoSpaceDE/>
              <w:spacing w:after="0" w:line="240" w:lineRule="auto"/>
              <w:ind w:firstLine="0"/>
              <w:jc w:val="left"/>
              <w:rPr>
                <w:rFonts w:ascii="Calibri" w:hAnsi="Calibri" w:cs="Calibri"/>
                <w:color w:val="000000"/>
                <w:szCs w:val="24"/>
                <w:lang w:eastAsia="cs-CZ"/>
              </w:rPr>
            </w:pPr>
            <w:r w:rsidRPr="0066606C">
              <w:rPr>
                <w:rFonts w:ascii="Calibri" w:hAnsi="Calibri" w:cs="Calibri"/>
                <w:color w:val="000000"/>
                <w:szCs w:val="24"/>
                <w:lang w:eastAsia="cs-CZ"/>
              </w:rPr>
              <w:t>kW</w:t>
            </w:r>
          </w:p>
        </w:tc>
      </w:tr>
      <w:tr w:rsidR="0066606C" w:rsidRPr="00FB1D23" w14:paraId="2C3EB0AA" w14:textId="77777777" w:rsidTr="007848AB">
        <w:trPr>
          <w:trHeight w:val="315"/>
        </w:trPr>
        <w:tc>
          <w:tcPr>
            <w:tcW w:w="2465" w:type="dxa"/>
            <w:tcBorders>
              <w:top w:val="nil"/>
              <w:left w:val="nil"/>
              <w:bottom w:val="nil"/>
              <w:right w:val="nil"/>
            </w:tcBorders>
            <w:shd w:val="clear" w:color="auto" w:fill="auto"/>
            <w:noWrap/>
            <w:vAlign w:val="bottom"/>
            <w:hideMark/>
          </w:tcPr>
          <w:p w14:paraId="3E14DE93" w14:textId="77777777" w:rsidR="0066606C" w:rsidRPr="00FB1D23" w:rsidRDefault="0066606C" w:rsidP="007848AB">
            <w:pPr>
              <w:widowControl/>
              <w:suppressAutoHyphens w:val="0"/>
              <w:autoSpaceDE/>
              <w:spacing w:after="0" w:line="240" w:lineRule="auto"/>
              <w:ind w:firstLine="0"/>
              <w:jc w:val="left"/>
              <w:rPr>
                <w:rFonts w:ascii="Calibri" w:hAnsi="Calibri" w:cs="Calibri"/>
                <w:color w:val="000000"/>
                <w:szCs w:val="24"/>
                <w:highlight w:val="yellow"/>
                <w:lang w:eastAsia="cs-CZ"/>
              </w:rPr>
            </w:pPr>
          </w:p>
        </w:tc>
        <w:tc>
          <w:tcPr>
            <w:tcW w:w="146" w:type="dxa"/>
            <w:tcBorders>
              <w:top w:val="nil"/>
              <w:left w:val="nil"/>
              <w:bottom w:val="nil"/>
              <w:right w:val="nil"/>
            </w:tcBorders>
            <w:shd w:val="clear" w:color="auto" w:fill="auto"/>
            <w:noWrap/>
            <w:vAlign w:val="bottom"/>
            <w:hideMark/>
          </w:tcPr>
          <w:p w14:paraId="41AB7196" w14:textId="77777777" w:rsidR="0066606C" w:rsidRPr="00FB1D23" w:rsidRDefault="0066606C" w:rsidP="007848AB">
            <w:pPr>
              <w:widowControl/>
              <w:suppressAutoHyphens w:val="0"/>
              <w:autoSpaceDE/>
              <w:spacing w:after="0" w:line="240" w:lineRule="auto"/>
              <w:ind w:firstLine="0"/>
              <w:jc w:val="left"/>
              <w:rPr>
                <w:rFonts w:ascii="Times New Roman" w:hAnsi="Times New Roman" w:cs="Times New Roman"/>
                <w:sz w:val="20"/>
                <w:highlight w:val="yellow"/>
                <w:lang w:eastAsia="cs-CZ"/>
              </w:rPr>
            </w:pPr>
          </w:p>
        </w:tc>
        <w:tc>
          <w:tcPr>
            <w:tcW w:w="1282" w:type="dxa"/>
            <w:tcBorders>
              <w:top w:val="nil"/>
              <w:left w:val="nil"/>
              <w:bottom w:val="nil"/>
              <w:right w:val="nil"/>
            </w:tcBorders>
            <w:shd w:val="clear" w:color="auto" w:fill="auto"/>
            <w:noWrap/>
            <w:vAlign w:val="bottom"/>
            <w:hideMark/>
          </w:tcPr>
          <w:p w14:paraId="69316C91" w14:textId="77777777" w:rsidR="0066606C" w:rsidRPr="00FB1D23" w:rsidRDefault="0066606C" w:rsidP="007848AB">
            <w:pPr>
              <w:widowControl/>
              <w:suppressAutoHyphens w:val="0"/>
              <w:autoSpaceDE/>
              <w:spacing w:after="0" w:line="240" w:lineRule="auto"/>
              <w:ind w:firstLine="0"/>
              <w:jc w:val="left"/>
              <w:rPr>
                <w:rFonts w:ascii="Times New Roman" w:hAnsi="Times New Roman" w:cs="Times New Roman"/>
                <w:sz w:val="20"/>
                <w:highlight w:val="yellow"/>
                <w:lang w:eastAsia="cs-CZ"/>
              </w:rPr>
            </w:pPr>
          </w:p>
        </w:tc>
        <w:tc>
          <w:tcPr>
            <w:tcW w:w="223" w:type="dxa"/>
            <w:tcBorders>
              <w:top w:val="nil"/>
              <w:left w:val="nil"/>
              <w:bottom w:val="nil"/>
              <w:right w:val="nil"/>
            </w:tcBorders>
            <w:shd w:val="clear" w:color="auto" w:fill="auto"/>
            <w:noWrap/>
            <w:vAlign w:val="bottom"/>
            <w:hideMark/>
          </w:tcPr>
          <w:p w14:paraId="281EF827" w14:textId="77777777" w:rsidR="0066606C" w:rsidRPr="00FB1D23" w:rsidRDefault="0066606C" w:rsidP="007848AB">
            <w:pPr>
              <w:widowControl/>
              <w:suppressAutoHyphens w:val="0"/>
              <w:autoSpaceDE/>
              <w:spacing w:after="0" w:line="240" w:lineRule="auto"/>
              <w:ind w:firstLine="0"/>
              <w:jc w:val="left"/>
              <w:rPr>
                <w:rFonts w:ascii="Times New Roman" w:hAnsi="Times New Roman" w:cs="Times New Roman"/>
                <w:sz w:val="20"/>
                <w:highlight w:val="yellow"/>
                <w:lang w:eastAsia="cs-CZ"/>
              </w:rPr>
            </w:pPr>
          </w:p>
        </w:tc>
        <w:tc>
          <w:tcPr>
            <w:tcW w:w="222" w:type="dxa"/>
            <w:tcBorders>
              <w:top w:val="nil"/>
              <w:left w:val="nil"/>
              <w:bottom w:val="nil"/>
              <w:right w:val="nil"/>
            </w:tcBorders>
            <w:shd w:val="clear" w:color="auto" w:fill="auto"/>
            <w:noWrap/>
            <w:vAlign w:val="bottom"/>
            <w:hideMark/>
          </w:tcPr>
          <w:p w14:paraId="4722C536" w14:textId="77777777" w:rsidR="0066606C" w:rsidRPr="00FB1D23" w:rsidRDefault="0066606C" w:rsidP="007848AB">
            <w:pPr>
              <w:widowControl/>
              <w:suppressAutoHyphens w:val="0"/>
              <w:autoSpaceDE/>
              <w:spacing w:after="0" w:line="240" w:lineRule="auto"/>
              <w:ind w:firstLine="0"/>
              <w:jc w:val="left"/>
              <w:rPr>
                <w:rFonts w:ascii="Times New Roman" w:hAnsi="Times New Roman" w:cs="Times New Roman"/>
                <w:sz w:val="20"/>
                <w:highlight w:val="yellow"/>
                <w:lang w:eastAsia="cs-CZ"/>
              </w:rPr>
            </w:pPr>
          </w:p>
        </w:tc>
        <w:tc>
          <w:tcPr>
            <w:tcW w:w="2547" w:type="dxa"/>
            <w:tcBorders>
              <w:top w:val="nil"/>
              <w:left w:val="nil"/>
              <w:bottom w:val="nil"/>
              <w:right w:val="nil"/>
            </w:tcBorders>
            <w:shd w:val="clear" w:color="auto" w:fill="auto"/>
            <w:noWrap/>
            <w:vAlign w:val="bottom"/>
            <w:hideMark/>
          </w:tcPr>
          <w:p w14:paraId="1BF488AE" w14:textId="77777777" w:rsidR="0066606C" w:rsidRPr="00FB1D23" w:rsidRDefault="0066606C" w:rsidP="007848AB">
            <w:pPr>
              <w:widowControl/>
              <w:suppressAutoHyphens w:val="0"/>
              <w:autoSpaceDE/>
              <w:spacing w:after="0" w:line="240" w:lineRule="auto"/>
              <w:ind w:firstLine="0"/>
              <w:jc w:val="left"/>
              <w:rPr>
                <w:rFonts w:ascii="Times New Roman" w:hAnsi="Times New Roman" w:cs="Times New Roman"/>
                <w:sz w:val="20"/>
                <w:highlight w:val="yellow"/>
                <w:lang w:eastAsia="cs-CZ"/>
              </w:rPr>
            </w:pPr>
          </w:p>
        </w:tc>
        <w:tc>
          <w:tcPr>
            <w:tcW w:w="960" w:type="dxa"/>
            <w:tcBorders>
              <w:top w:val="nil"/>
              <w:left w:val="nil"/>
              <w:bottom w:val="nil"/>
              <w:right w:val="nil"/>
            </w:tcBorders>
            <w:shd w:val="clear" w:color="auto" w:fill="auto"/>
            <w:noWrap/>
            <w:vAlign w:val="bottom"/>
            <w:hideMark/>
          </w:tcPr>
          <w:p w14:paraId="0F2C2972" w14:textId="77777777" w:rsidR="0066606C" w:rsidRPr="00FB1D23" w:rsidRDefault="0066606C" w:rsidP="007848AB">
            <w:pPr>
              <w:widowControl/>
              <w:suppressAutoHyphens w:val="0"/>
              <w:autoSpaceDE/>
              <w:spacing w:after="0" w:line="240" w:lineRule="auto"/>
              <w:ind w:firstLine="0"/>
              <w:jc w:val="left"/>
              <w:rPr>
                <w:rFonts w:ascii="Times New Roman" w:hAnsi="Times New Roman" w:cs="Times New Roman"/>
                <w:sz w:val="20"/>
                <w:highlight w:val="yellow"/>
                <w:lang w:eastAsia="cs-CZ"/>
              </w:rPr>
            </w:pPr>
          </w:p>
        </w:tc>
      </w:tr>
    </w:tbl>
    <w:p w14:paraId="7C0C30B6" w14:textId="77777777" w:rsidR="00B95378" w:rsidRPr="00AB7CC7" w:rsidRDefault="00B95378" w:rsidP="00B95378">
      <w:pPr>
        <w:pStyle w:val="Nadpis2"/>
      </w:pPr>
      <w:r w:rsidRPr="00AB7CC7">
        <w:lastRenderedPageBreak/>
        <w:t>Potrubní rozvody</w:t>
      </w:r>
      <w:bookmarkEnd w:id="3"/>
    </w:p>
    <w:p w14:paraId="7AB5B6D7" w14:textId="265A73E3" w:rsidR="00B95378" w:rsidRPr="00AB7CC7" w:rsidRDefault="00B95378" w:rsidP="00B95378">
      <w:r w:rsidRPr="00AB7CC7">
        <w:t>Potrubní rozvody budou ocelové, spojované svařováním, zavěšené pod stropem, nebo na zdi a opatřeny ochranným nátěrem. Veškeré potrubní rozvody, které nejsou určeny k</w:t>
      </w:r>
      <w:r w:rsidR="00481999" w:rsidRPr="00AB7CC7">
        <w:t> </w:t>
      </w:r>
      <w:r w:rsidRPr="00AB7CC7">
        <w:t>vytápění</w:t>
      </w:r>
      <w:r w:rsidR="00481999" w:rsidRPr="00AB7CC7">
        <w:t xml:space="preserve"> místností</w:t>
      </w:r>
      <w:r w:rsidRPr="00AB7CC7">
        <w:t>, budou vybaveny tepelnou izolací z minerální vaty s povrchem z hliníkové fólie.</w:t>
      </w:r>
      <w:r w:rsidR="00AB7CC7" w:rsidRPr="00AB7CC7">
        <w:t xml:space="preserve"> Potrubní rozvody musí být na nejvyšších místech odvzdušněny pomocí odvzdušňovací sestavy (nádobka a potrubí s kulovým kohoutem svedeným k podlaze) a na nejnižších místech musí </w:t>
      </w:r>
      <w:bookmarkStart w:id="4" w:name="_GoBack"/>
      <w:bookmarkEnd w:id="4"/>
      <w:r w:rsidR="00AB7CC7" w:rsidRPr="00AB7CC7">
        <w:t>být instalováno vypouštění.</w:t>
      </w:r>
    </w:p>
    <w:p w14:paraId="283458B5" w14:textId="77777777" w:rsidR="00B95378" w:rsidRPr="00AB7CC7" w:rsidRDefault="002970CE" w:rsidP="00B95378">
      <w:r w:rsidRPr="00AB7CC7">
        <w:t>Parametry tepelné izolace pro potrubí topné vody:</w:t>
      </w:r>
    </w:p>
    <w:tbl>
      <w:tblPr>
        <w:tblW w:w="7551" w:type="dxa"/>
        <w:tblInd w:w="-110" w:type="dxa"/>
        <w:tblBorders>
          <w:top w:val="single" w:sz="8" w:space="0" w:color="00000A"/>
          <w:left w:val="single" w:sz="8" w:space="0" w:color="00000A"/>
          <w:bottom w:val="single" w:sz="8" w:space="0" w:color="000001"/>
          <w:right w:val="single" w:sz="4" w:space="0" w:color="00000A"/>
          <w:insideH w:val="single" w:sz="8" w:space="0" w:color="000001"/>
          <w:insideV w:val="single" w:sz="4" w:space="0" w:color="00000A"/>
        </w:tblBorders>
        <w:tblCellMar>
          <w:left w:w="60" w:type="dxa"/>
          <w:right w:w="70" w:type="dxa"/>
        </w:tblCellMar>
        <w:tblLook w:val="04A0" w:firstRow="1" w:lastRow="0" w:firstColumn="1" w:lastColumn="0" w:noHBand="0" w:noVBand="1"/>
      </w:tblPr>
      <w:tblGrid>
        <w:gridCol w:w="2023"/>
        <w:gridCol w:w="1135"/>
        <w:gridCol w:w="851"/>
        <w:gridCol w:w="992"/>
        <w:gridCol w:w="1416"/>
        <w:gridCol w:w="1134"/>
      </w:tblGrid>
      <w:tr w:rsidR="00B95378" w:rsidRPr="00AB7CC7" w14:paraId="05A9AF52" w14:textId="77777777" w:rsidTr="00DC5626">
        <w:trPr>
          <w:trHeight w:val="300"/>
          <w:tblHeader/>
        </w:trPr>
        <w:tc>
          <w:tcPr>
            <w:tcW w:w="2022" w:type="dxa"/>
            <w:vMerge w:val="restart"/>
            <w:tcBorders>
              <w:top w:val="single" w:sz="8" w:space="0" w:color="00000A"/>
              <w:left w:val="single" w:sz="8" w:space="0" w:color="00000A"/>
              <w:bottom w:val="single" w:sz="8" w:space="0" w:color="000001"/>
              <w:right w:val="single" w:sz="4" w:space="0" w:color="00000A"/>
            </w:tcBorders>
            <w:shd w:val="clear" w:color="000000" w:fill="D8D8D8"/>
            <w:tcMar>
              <w:left w:w="60" w:type="dxa"/>
            </w:tcMar>
            <w:vAlign w:val="center"/>
          </w:tcPr>
          <w:p w14:paraId="7B3BE24E" w14:textId="77777777" w:rsidR="00B95378" w:rsidRPr="00AB7CC7" w:rsidRDefault="00B95378" w:rsidP="00DC5626">
            <w:pPr>
              <w:widowControl/>
              <w:suppressAutoHyphens w:val="0"/>
              <w:spacing w:after="0" w:line="240" w:lineRule="auto"/>
              <w:ind w:right="72" w:firstLine="201"/>
              <w:jc w:val="left"/>
              <w:rPr>
                <w:rFonts w:ascii="Calibri" w:hAnsi="Calibri" w:cs="Arial CE"/>
                <w:b/>
                <w:bCs/>
                <w:sz w:val="20"/>
                <w:lang w:eastAsia="cs-CZ"/>
              </w:rPr>
            </w:pPr>
            <w:r w:rsidRPr="00AB7CC7">
              <w:rPr>
                <w:rFonts w:cs="Arial CE"/>
                <w:b/>
                <w:bCs/>
                <w:sz w:val="20"/>
                <w:lang w:eastAsia="cs-CZ"/>
              </w:rPr>
              <w:t xml:space="preserve">Trubka ocelová </w:t>
            </w:r>
            <w:r w:rsidRPr="00AB7CC7">
              <w:rPr>
                <w:rFonts w:cs="Arial CE"/>
                <w:b/>
                <w:bCs/>
                <w:sz w:val="20"/>
                <w:lang w:eastAsia="cs-CZ"/>
              </w:rPr>
              <w:br/>
              <w:t>bezešvá</w:t>
            </w:r>
          </w:p>
        </w:tc>
        <w:tc>
          <w:tcPr>
            <w:tcW w:w="1135" w:type="dxa"/>
            <w:vMerge w:val="restart"/>
            <w:tcBorders>
              <w:top w:val="single" w:sz="8" w:space="0" w:color="00000A"/>
              <w:left w:val="single" w:sz="4" w:space="0" w:color="00000A"/>
              <w:bottom w:val="single" w:sz="8" w:space="0" w:color="000001"/>
              <w:right w:val="single" w:sz="4" w:space="0" w:color="00000A"/>
            </w:tcBorders>
            <w:shd w:val="clear" w:color="000000" w:fill="D8D8D8"/>
            <w:tcMar>
              <w:left w:w="65" w:type="dxa"/>
            </w:tcMar>
            <w:vAlign w:val="center"/>
          </w:tcPr>
          <w:p w14:paraId="4365C046" w14:textId="77777777" w:rsidR="00B95378" w:rsidRPr="00AB7CC7" w:rsidRDefault="00B95378" w:rsidP="00DC5626">
            <w:pPr>
              <w:widowControl/>
              <w:suppressAutoHyphens w:val="0"/>
              <w:spacing w:after="0" w:line="240" w:lineRule="auto"/>
              <w:ind w:firstLine="0"/>
              <w:jc w:val="center"/>
              <w:rPr>
                <w:rFonts w:ascii="Calibri" w:hAnsi="Calibri" w:cs="Arial CE"/>
                <w:b/>
                <w:bCs/>
                <w:color w:val="000000"/>
                <w:sz w:val="20"/>
                <w:lang w:eastAsia="cs-CZ"/>
              </w:rPr>
            </w:pPr>
            <w:r w:rsidRPr="00AB7CC7">
              <w:rPr>
                <w:rFonts w:cs="Arial CE"/>
                <w:b/>
                <w:bCs/>
                <w:color w:val="000000"/>
                <w:sz w:val="20"/>
                <w:lang w:eastAsia="cs-CZ"/>
              </w:rPr>
              <w:t>D</w:t>
            </w:r>
          </w:p>
        </w:tc>
        <w:tc>
          <w:tcPr>
            <w:tcW w:w="851" w:type="dxa"/>
            <w:vMerge w:val="restart"/>
            <w:tcBorders>
              <w:top w:val="single" w:sz="8" w:space="0" w:color="00000A"/>
              <w:left w:val="single" w:sz="4" w:space="0" w:color="00000A"/>
              <w:bottom w:val="single" w:sz="8" w:space="0" w:color="000001"/>
              <w:right w:val="single" w:sz="4" w:space="0" w:color="00000A"/>
            </w:tcBorders>
            <w:shd w:val="clear" w:color="000000" w:fill="D8D8D8"/>
            <w:tcMar>
              <w:left w:w="65" w:type="dxa"/>
            </w:tcMar>
            <w:vAlign w:val="center"/>
          </w:tcPr>
          <w:p w14:paraId="318E13AC" w14:textId="77777777" w:rsidR="00B95378" w:rsidRPr="00AB7CC7" w:rsidRDefault="00B95378" w:rsidP="00DC5626">
            <w:pPr>
              <w:widowControl/>
              <w:suppressAutoHyphens w:val="0"/>
              <w:spacing w:after="0" w:line="240" w:lineRule="auto"/>
              <w:ind w:firstLine="0"/>
              <w:jc w:val="center"/>
              <w:rPr>
                <w:rFonts w:ascii="Calibri" w:hAnsi="Calibri" w:cs="Arial CE"/>
                <w:b/>
                <w:bCs/>
                <w:color w:val="000000"/>
                <w:sz w:val="20"/>
                <w:lang w:eastAsia="cs-CZ"/>
              </w:rPr>
            </w:pPr>
            <w:r w:rsidRPr="00AB7CC7">
              <w:rPr>
                <w:rFonts w:cs="Arial CE"/>
                <w:b/>
                <w:bCs/>
                <w:color w:val="000000"/>
                <w:sz w:val="20"/>
                <w:lang w:eastAsia="cs-CZ"/>
              </w:rPr>
              <w:t>d</w:t>
            </w:r>
          </w:p>
        </w:tc>
        <w:tc>
          <w:tcPr>
            <w:tcW w:w="992" w:type="dxa"/>
            <w:vMerge w:val="restart"/>
            <w:tcBorders>
              <w:top w:val="single" w:sz="8" w:space="0" w:color="00000A"/>
              <w:left w:val="single" w:sz="4" w:space="0" w:color="00000A"/>
              <w:bottom w:val="single" w:sz="8" w:space="0" w:color="000001"/>
              <w:right w:val="single" w:sz="4" w:space="0" w:color="00000A"/>
            </w:tcBorders>
            <w:shd w:val="clear" w:color="000000" w:fill="D8D8D8"/>
            <w:tcMar>
              <w:left w:w="65" w:type="dxa"/>
            </w:tcMar>
            <w:vAlign w:val="center"/>
          </w:tcPr>
          <w:p w14:paraId="329589F2" w14:textId="77777777" w:rsidR="00B95378" w:rsidRPr="00AB7CC7" w:rsidRDefault="00B95378" w:rsidP="00DC5626">
            <w:pPr>
              <w:widowControl/>
              <w:suppressAutoHyphens w:val="0"/>
              <w:spacing w:after="0" w:line="240" w:lineRule="auto"/>
              <w:ind w:firstLine="0"/>
              <w:jc w:val="center"/>
              <w:rPr>
                <w:rFonts w:ascii="Calibri" w:hAnsi="Calibri" w:cs="Arial CE"/>
                <w:b/>
                <w:bCs/>
                <w:color w:val="000000"/>
                <w:sz w:val="20"/>
                <w:lang w:eastAsia="cs-CZ"/>
              </w:rPr>
            </w:pPr>
            <w:r w:rsidRPr="00AB7CC7">
              <w:rPr>
                <w:rFonts w:cs="Arial CE"/>
                <w:b/>
                <w:bCs/>
                <w:color w:val="000000"/>
                <w:sz w:val="20"/>
                <w:lang w:eastAsia="cs-CZ"/>
              </w:rPr>
              <w:t>t</w:t>
            </w:r>
          </w:p>
        </w:tc>
        <w:tc>
          <w:tcPr>
            <w:tcW w:w="1416" w:type="dxa"/>
            <w:vMerge w:val="restart"/>
            <w:tcBorders>
              <w:top w:val="single" w:sz="8" w:space="0" w:color="00000A"/>
              <w:left w:val="single" w:sz="4" w:space="0" w:color="00000A"/>
              <w:bottom w:val="single" w:sz="8" w:space="0" w:color="000001"/>
              <w:right w:val="single" w:sz="4" w:space="0" w:color="00000A"/>
            </w:tcBorders>
            <w:shd w:val="clear" w:color="000000" w:fill="D8D8D8"/>
            <w:tcMar>
              <w:left w:w="65" w:type="dxa"/>
            </w:tcMar>
            <w:vAlign w:val="center"/>
          </w:tcPr>
          <w:p w14:paraId="2DD9E84D" w14:textId="77777777" w:rsidR="00B95378" w:rsidRPr="00AB7CC7" w:rsidRDefault="00B95378" w:rsidP="00DC5626">
            <w:pPr>
              <w:widowControl/>
              <w:suppressAutoHyphens w:val="0"/>
              <w:spacing w:after="0" w:line="240" w:lineRule="auto"/>
              <w:ind w:firstLine="0"/>
              <w:jc w:val="center"/>
              <w:rPr>
                <w:rFonts w:ascii="Calibri" w:hAnsi="Calibri" w:cs="Arial CE"/>
                <w:b/>
                <w:bCs/>
                <w:color w:val="000000"/>
                <w:sz w:val="20"/>
                <w:lang w:eastAsia="cs-CZ"/>
              </w:rPr>
            </w:pPr>
            <w:r w:rsidRPr="00AB7CC7">
              <w:rPr>
                <w:rFonts w:cs="Arial CE"/>
                <w:b/>
                <w:bCs/>
                <w:color w:val="000000"/>
                <w:sz w:val="20"/>
                <w:lang w:eastAsia="cs-CZ"/>
              </w:rPr>
              <w:t>tloušťka</w:t>
            </w:r>
            <w:r w:rsidRPr="00AB7CC7">
              <w:rPr>
                <w:rFonts w:cs="Arial CE"/>
                <w:b/>
                <w:bCs/>
                <w:color w:val="000000"/>
                <w:sz w:val="20"/>
                <w:lang w:eastAsia="cs-CZ"/>
              </w:rPr>
              <w:br/>
              <w:t>izolace *</w:t>
            </w:r>
          </w:p>
        </w:tc>
        <w:tc>
          <w:tcPr>
            <w:tcW w:w="1134" w:type="dxa"/>
            <w:vMerge w:val="restart"/>
            <w:tcBorders>
              <w:top w:val="single" w:sz="8" w:space="0" w:color="00000A"/>
              <w:left w:val="single" w:sz="4" w:space="0" w:color="00000A"/>
              <w:bottom w:val="single" w:sz="8" w:space="0" w:color="000001"/>
              <w:right w:val="single" w:sz="8" w:space="0" w:color="00000A"/>
            </w:tcBorders>
            <w:shd w:val="clear" w:color="000000" w:fill="D8D8D8"/>
            <w:tcMar>
              <w:left w:w="65" w:type="dxa"/>
            </w:tcMar>
            <w:vAlign w:val="center"/>
          </w:tcPr>
          <w:p w14:paraId="1BB18E38" w14:textId="77777777" w:rsidR="00B95378" w:rsidRPr="00AB7CC7" w:rsidRDefault="00B95378" w:rsidP="00DC5626">
            <w:pPr>
              <w:widowControl/>
              <w:suppressAutoHyphens w:val="0"/>
              <w:spacing w:after="0" w:line="240" w:lineRule="auto"/>
              <w:ind w:firstLine="0"/>
              <w:jc w:val="center"/>
              <w:rPr>
                <w:rFonts w:ascii="Calibri" w:hAnsi="Calibri" w:cs="Arial CE"/>
                <w:b/>
                <w:bCs/>
                <w:color w:val="000000"/>
                <w:sz w:val="20"/>
                <w:lang w:eastAsia="cs-CZ"/>
              </w:rPr>
            </w:pPr>
            <w:r w:rsidRPr="00AB7CC7">
              <w:rPr>
                <w:rFonts w:cs="Arial CE"/>
                <w:b/>
                <w:bCs/>
                <w:color w:val="000000"/>
                <w:sz w:val="20"/>
                <w:lang w:eastAsia="cs-CZ"/>
              </w:rPr>
              <w:t>maximální</w:t>
            </w:r>
            <w:r w:rsidRPr="00AB7CC7">
              <w:rPr>
                <w:rFonts w:cs="Arial CE"/>
                <w:b/>
                <w:bCs/>
                <w:color w:val="000000"/>
                <w:sz w:val="20"/>
                <w:lang w:eastAsia="cs-CZ"/>
              </w:rPr>
              <w:br/>
              <w:t>uložení **</w:t>
            </w:r>
          </w:p>
        </w:tc>
      </w:tr>
      <w:tr w:rsidR="00B95378" w:rsidRPr="00AB7CC7" w14:paraId="15B8C019" w14:textId="77777777" w:rsidTr="00DC5626">
        <w:trPr>
          <w:trHeight w:hRule="exact" w:val="300"/>
        </w:trPr>
        <w:tc>
          <w:tcPr>
            <w:tcW w:w="2022" w:type="dxa"/>
            <w:vMerge/>
            <w:tcBorders>
              <w:top w:val="single" w:sz="8" w:space="0" w:color="00000A"/>
              <w:left w:val="single" w:sz="8" w:space="0" w:color="00000A"/>
              <w:bottom w:val="single" w:sz="8" w:space="0" w:color="000001"/>
              <w:right w:val="single" w:sz="4" w:space="0" w:color="00000A"/>
            </w:tcBorders>
            <w:shd w:val="clear" w:color="auto" w:fill="auto"/>
            <w:tcMar>
              <w:left w:w="60" w:type="dxa"/>
            </w:tcMar>
            <w:vAlign w:val="center"/>
          </w:tcPr>
          <w:p w14:paraId="59B7A060" w14:textId="77777777" w:rsidR="00B95378" w:rsidRPr="00AB7CC7" w:rsidRDefault="00B95378" w:rsidP="00DC5626">
            <w:pPr>
              <w:widowControl/>
              <w:suppressAutoHyphens w:val="0"/>
              <w:spacing w:after="0" w:line="240" w:lineRule="auto"/>
              <w:ind w:firstLine="0"/>
              <w:jc w:val="left"/>
              <w:rPr>
                <w:rFonts w:ascii="Calibri" w:hAnsi="Calibri" w:cs="Arial CE"/>
                <w:b/>
                <w:bCs/>
                <w:sz w:val="20"/>
                <w:lang w:eastAsia="cs-CZ"/>
              </w:rPr>
            </w:pPr>
          </w:p>
        </w:tc>
        <w:tc>
          <w:tcPr>
            <w:tcW w:w="1135" w:type="dxa"/>
            <w:vMerge/>
            <w:tcBorders>
              <w:top w:val="single" w:sz="8" w:space="0" w:color="00000A"/>
              <w:left w:val="single" w:sz="4" w:space="0" w:color="00000A"/>
              <w:bottom w:val="single" w:sz="8" w:space="0" w:color="000001"/>
              <w:right w:val="single" w:sz="4" w:space="0" w:color="00000A"/>
            </w:tcBorders>
            <w:shd w:val="clear" w:color="auto" w:fill="auto"/>
            <w:tcMar>
              <w:left w:w="65" w:type="dxa"/>
            </w:tcMar>
            <w:vAlign w:val="center"/>
          </w:tcPr>
          <w:p w14:paraId="74905691" w14:textId="77777777" w:rsidR="00B95378" w:rsidRPr="00AB7CC7" w:rsidRDefault="00B95378" w:rsidP="00DC5626">
            <w:pPr>
              <w:widowControl/>
              <w:suppressAutoHyphens w:val="0"/>
              <w:spacing w:after="0" w:line="240" w:lineRule="auto"/>
              <w:ind w:firstLine="0"/>
              <w:jc w:val="left"/>
              <w:rPr>
                <w:rFonts w:ascii="Calibri" w:hAnsi="Calibri" w:cs="Arial CE"/>
                <w:b/>
                <w:bCs/>
                <w:color w:val="000000"/>
                <w:sz w:val="20"/>
                <w:lang w:eastAsia="cs-CZ"/>
              </w:rPr>
            </w:pPr>
          </w:p>
        </w:tc>
        <w:tc>
          <w:tcPr>
            <w:tcW w:w="851" w:type="dxa"/>
            <w:vMerge/>
            <w:tcBorders>
              <w:top w:val="single" w:sz="8" w:space="0" w:color="00000A"/>
              <w:left w:val="single" w:sz="4" w:space="0" w:color="00000A"/>
              <w:bottom w:val="single" w:sz="8" w:space="0" w:color="000001"/>
              <w:right w:val="single" w:sz="4" w:space="0" w:color="00000A"/>
            </w:tcBorders>
            <w:shd w:val="clear" w:color="auto" w:fill="auto"/>
            <w:tcMar>
              <w:left w:w="65" w:type="dxa"/>
            </w:tcMar>
            <w:vAlign w:val="center"/>
          </w:tcPr>
          <w:p w14:paraId="6055F4C1" w14:textId="77777777" w:rsidR="00B95378" w:rsidRPr="00AB7CC7" w:rsidRDefault="00B95378" w:rsidP="00DC5626">
            <w:pPr>
              <w:widowControl/>
              <w:suppressAutoHyphens w:val="0"/>
              <w:spacing w:after="0" w:line="240" w:lineRule="auto"/>
              <w:ind w:firstLine="0"/>
              <w:jc w:val="left"/>
              <w:rPr>
                <w:rFonts w:ascii="Calibri" w:hAnsi="Calibri" w:cs="Arial CE"/>
                <w:b/>
                <w:bCs/>
                <w:color w:val="000000"/>
                <w:sz w:val="20"/>
                <w:lang w:eastAsia="cs-CZ"/>
              </w:rPr>
            </w:pPr>
          </w:p>
        </w:tc>
        <w:tc>
          <w:tcPr>
            <w:tcW w:w="992" w:type="dxa"/>
            <w:vMerge/>
            <w:tcBorders>
              <w:top w:val="single" w:sz="8" w:space="0" w:color="00000A"/>
              <w:left w:val="single" w:sz="4" w:space="0" w:color="00000A"/>
              <w:bottom w:val="single" w:sz="8" w:space="0" w:color="000001"/>
              <w:right w:val="single" w:sz="4" w:space="0" w:color="00000A"/>
            </w:tcBorders>
            <w:shd w:val="clear" w:color="auto" w:fill="auto"/>
            <w:tcMar>
              <w:left w:w="65" w:type="dxa"/>
            </w:tcMar>
            <w:vAlign w:val="center"/>
          </w:tcPr>
          <w:p w14:paraId="5C9B8886" w14:textId="77777777" w:rsidR="00B95378" w:rsidRPr="00AB7CC7" w:rsidRDefault="00B95378" w:rsidP="00DC5626">
            <w:pPr>
              <w:widowControl/>
              <w:suppressAutoHyphens w:val="0"/>
              <w:spacing w:after="0" w:line="240" w:lineRule="auto"/>
              <w:ind w:firstLine="0"/>
              <w:jc w:val="left"/>
              <w:rPr>
                <w:rFonts w:ascii="Calibri" w:hAnsi="Calibri" w:cs="Arial CE"/>
                <w:b/>
                <w:bCs/>
                <w:color w:val="000000"/>
                <w:sz w:val="20"/>
                <w:lang w:eastAsia="cs-CZ"/>
              </w:rPr>
            </w:pPr>
          </w:p>
        </w:tc>
        <w:tc>
          <w:tcPr>
            <w:tcW w:w="1416" w:type="dxa"/>
            <w:vMerge/>
            <w:tcBorders>
              <w:top w:val="single" w:sz="8" w:space="0" w:color="00000A"/>
              <w:left w:val="single" w:sz="4" w:space="0" w:color="00000A"/>
              <w:bottom w:val="single" w:sz="8" w:space="0" w:color="000001"/>
              <w:right w:val="single" w:sz="4" w:space="0" w:color="00000A"/>
            </w:tcBorders>
            <w:shd w:val="clear" w:color="auto" w:fill="auto"/>
            <w:tcMar>
              <w:left w:w="65" w:type="dxa"/>
            </w:tcMar>
            <w:vAlign w:val="center"/>
          </w:tcPr>
          <w:p w14:paraId="55D1528C" w14:textId="77777777" w:rsidR="00B95378" w:rsidRPr="00AB7CC7" w:rsidRDefault="00B95378" w:rsidP="00DC5626">
            <w:pPr>
              <w:widowControl/>
              <w:suppressAutoHyphens w:val="0"/>
              <w:spacing w:after="0" w:line="240" w:lineRule="auto"/>
              <w:ind w:firstLine="0"/>
              <w:jc w:val="left"/>
              <w:rPr>
                <w:rFonts w:ascii="Calibri" w:hAnsi="Calibri" w:cs="Arial CE"/>
                <w:b/>
                <w:bCs/>
                <w:color w:val="000000"/>
                <w:sz w:val="20"/>
                <w:lang w:eastAsia="cs-CZ"/>
              </w:rPr>
            </w:pPr>
          </w:p>
        </w:tc>
        <w:tc>
          <w:tcPr>
            <w:tcW w:w="1134" w:type="dxa"/>
            <w:vMerge/>
            <w:tcBorders>
              <w:top w:val="single" w:sz="8" w:space="0" w:color="00000A"/>
              <w:left w:val="single" w:sz="4" w:space="0" w:color="00000A"/>
              <w:bottom w:val="single" w:sz="8" w:space="0" w:color="000001"/>
              <w:right w:val="single" w:sz="8" w:space="0" w:color="00000A"/>
            </w:tcBorders>
            <w:shd w:val="clear" w:color="auto" w:fill="auto"/>
            <w:tcMar>
              <w:left w:w="65" w:type="dxa"/>
            </w:tcMar>
            <w:vAlign w:val="center"/>
          </w:tcPr>
          <w:p w14:paraId="5A58A4D7" w14:textId="77777777" w:rsidR="00B95378" w:rsidRPr="00AB7CC7" w:rsidRDefault="00B95378" w:rsidP="00DC5626">
            <w:pPr>
              <w:widowControl/>
              <w:suppressAutoHyphens w:val="0"/>
              <w:spacing w:after="0" w:line="240" w:lineRule="auto"/>
              <w:ind w:firstLine="0"/>
              <w:jc w:val="left"/>
              <w:rPr>
                <w:rFonts w:ascii="Calibri" w:hAnsi="Calibri" w:cs="Arial CE"/>
                <w:b/>
                <w:bCs/>
                <w:color w:val="000000"/>
                <w:sz w:val="20"/>
                <w:lang w:eastAsia="cs-CZ"/>
              </w:rPr>
            </w:pPr>
          </w:p>
        </w:tc>
      </w:tr>
      <w:tr w:rsidR="00B95378" w:rsidRPr="00AB7CC7" w14:paraId="39EBE529" w14:textId="77777777" w:rsidTr="00DC5626">
        <w:trPr>
          <w:trHeight w:val="300"/>
        </w:trPr>
        <w:tc>
          <w:tcPr>
            <w:tcW w:w="2022" w:type="dxa"/>
            <w:tcBorders>
              <w:left w:val="single" w:sz="8" w:space="0" w:color="00000A"/>
              <w:bottom w:val="single" w:sz="4" w:space="0" w:color="00000A"/>
              <w:right w:val="single" w:sz="4" w:space="0" w:color="00000A"/>
            </w:tcBorders>
            <w:shd w:val="clear" w:color="auto" w:fill="auto"/>
            <w:tcMar>
              <w:left w:w="60" w:type="dxa"/>
            </w:tcMar>
            <w:vAlign w:val="center"/>
          </w:tcPr>
          <w:p w14:paraId="6BAE3973" w14:textId="77777777" w:rsidR="00B95378" w:rsidRPr="00AB7CC7" w:rsidRDefault="00B95378" w:rsidP="00DC5626">
            <w:pPr>
              <w:widowControl/>
              <w:suppressAutoHyphens w:val="0"/>
              <w:spacing w:after="0" w:line="240" w:lineRule="auto"/>
              <w:ind w:firstLine="200"/>
              <w:jc w:val="left"/>
              <w:rPr>
                <w:rFonts w:ascii="Calibri" w:hAnsi="Calibri" w:cs="Arial CE"/>
                <w:sz w:val="20"/>
                <w:lang w:eastAsia="cs-CZ"/>
              </w:rPr>
            </w:pPr>
            <w:r w:rsidRPr="00AB7CC7">
              <w:rPr>
                <w:rFonts w:cs="Arial CE"/>
                <w:sz w:val="20"/>
                <w:lang w:eastAsia="cs-CZ"/>
              </w:rPr>
              <w:t>DN 010 - 17,2 x 1,8</w:t>
            </w:r>
          </w:p>
        </w:tc>
        <w:tc>
          <w:tcPr>
            <w:tcW w:w="1135" w:type="dxa"/>
            <w:tcBorders>
              <w:bottom w:val="single" w:sz="4" w:space="0" w:color="00000A"/>
              <w:right w:val="single" w:sz="4" w:space="0" w:color="00000A"/>
            </w:tcBorders>
            <w:shd w:val="clear" w:color="auto" w:fill="auto"/>
            <w:vAlign w:val="center"/>
          </w:tcPr>
          <w:p w14:paraId="15DEDDBA"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17,2</w:t>
            </w:r>
          </w:p>
        </w:tc>
        <w:tc>
          <w:tcPr>
            <w:tcW w:w="851" w:type="dxa"/>
            <w:tcBorders>
              <w:bottom w:val="single" w:sz="4" w:space="0" w:color="00000A"/>
              <w:right w:val="single" w:sz="4" w:space="0" w:color="00000A"/>
            </w:tcBorders>
            <w:shd w:val="clear" w:color="auto" w:fill="auto"/>
            <w:vAlign w:val="center"/>
          </w:tcPr>
          <w:p w14:paraId="21ECE03F"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13,6</w:t>
            </w:r>
          </w:p>
        </w:tc>
        <w:tc>
          <w:tcPr>
            <w:tcW w:w="992" w:type="dxa"/>
            <w:tcBorders>
              <w:bottom w:val="single" w:sz="4" w:space="0" w:color="00000A"/>
              <w:right w:val="single" w:sz="4" w:space="0" w:color="00000A"/>
            </w:tcBorders>
            <w:shd w:val="clear" w:color="auto" w:fill="auto"/>
            <w:vAlign w:val="center"/>
          </w:tcPr>
          <w:p w14:paraId="176382CB"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1,8</w:t>
            </w:r>
          </w:p>
        </w:tc>
        <w:tc>
          <w:tcPr>
            <w:tcW w:w="1416" w:type="dxa"/>
            <w:tcBorders>
              <w:bottom w:val="single" w:sz="4" w:space="0" w:color="00000A"/>
              <w:right w:val="single" w:sz="4" w:space="0" w:color="00000A"/>
            </w:tcBorders>
            <w:shd w:val="clear" w:color="auto" w:fill="auto"/>
            <w:vAlign w:val="center"/>
          </w:tcPr>
          <w:p w14:paraId="5F9D582C"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40 mm</w:t>
            </w:r>
          </w:p>
        </w:tc>
        <w:tc>
          <w:tcPr>
            <w:tcW w:w="1134" w:type="dxa"/>
            <w:tcBorders>
              <w:bottom w:val="single" w:sz="4" w:space="0" w:color="00000A"/>
              <w:right w:val="single" w:sz="8" w:space="0" w:color="00000A"/>
            </w:tcBorders>
            <w:shd w:val="clear" w:color="auto" w:fill="auto"/>
            <w:vAlign w:val="center"/>
          </w:tcPr>
          <w:p w14:paraId="324C7331"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1,4 m</w:t>
            </w:r>
          </w:p>
        </w:tc>
      </w:tr>
      <w:tr w:rsidR="00B95378" w:rsidRPr="00AB7CC7" w14:paraId="461A8EDA" w14:textId="77777777" w:rsidTr="00DC5626">
        <w:trPr>
          <w:trHeight w:val="300"/>
        </w:trPr>
        <w:tc>
          <w:tcPr>
            <w:tcW w:w="2022" w:type="dxa"/>
            <w:tcBorders>
              <w:left w:val="single" w:sz="8" w:space="0" w:color="00000A"/>
              <w:bottom w:val="single" w:sz="4" w:space="0" w:color="00000A"/>
              <w:right w:val="single" w:sz="4" w:space="0" w:color="00000A"/>
            </w:tcBorders>
            <w:shd w:val="clear" w:color="auto" w:fill="auto"/>
            <w:tcMar>
              <w:left w:w="60" w:type="dxa"/>
            </w:tcMar>
            <w:vAlign w:val="center"/>
          </w:tcPr>
          <w:p w14:paraId="29C31EE0" w14:textId="77777777" w:rsidR="00B95378" w:rsidRPr="00AB7CC7" w:rsidRDefault="00B95378" w:rsidP="00DC5626">
            <w:pPr>
              <w:widowControl/>
              <w:suppressAutoHyphens w:val="0"/>
              <w:spacing w:after="0" w:line="240" w:lineRule="auto"/>
              <w:ind w:firstLine="200"/>
              <w:jc w:val="left"/>
              <w:rPr>
                <w:rFonts w:ascii="Calibri" w:hAnsi="Calibri" w:cs="Arial CE"/>
                <w:sz w:val="20"/>
                <w:lang w:eastAsia="cs-CZ"/>
              </w:rPr>
            </w:pPr>
            <w:r w:rsidRPr="00AB7CC7">
              <w:rPr>
                <w:rFonts w:cs="Arial CE"/>
                <w:sz w:val="20"/>
                <w:lang w:eastAsia="cs-CZ"/>
              </w:rPr>
              <w:t>DN 015 - 21,3 x 2,6</w:t>
            </w:r>
          </w:p>
        </w:tc>
        <w:tc>
          <w:tcPr>
            <w:tcW w:w="1135" w:type="dxa"/>
            <w:tcBorders>
              <w:bottom w:val="single" w:sz="4" w:space="0" w:color="00000A"/>
              <w:right w:val="single" w:sz="4" w:space="0" w:color="00000A"/>
            </w:tcBorders>
            <w:shd w:val="clear" w:color="auto" w:fill="auto"/>
            <w:vAlign w:val="center"/>
          </w:tcPr>
          <w:p w14:paraId="3D844E11"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21,3</w:t>
            </w:r>
          </w:p>
        </w:tc>
        <w:tc>
          <w:tcPr>
            <w:tcW w:w="851" w:type="dxa"/>
            <w:tcBorders>
              <w:bottom w:val="single" w:sz="4" w:space="0" w:color="00000A"/>
              <w:right w:val="single" w:sz="4" w:space="0" w:color="00000A"/>
            </w:tcBorders>
            <w:shd w:val="clear" w:color="auto" w:fill="auto"/>
            <w:vAlign w:val="center"/>
          </w:tcPr>
          <w:p w14:paraId="17B3C216"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16,1</w:t>
            </w:r>
          </w:p>
        </w:tc>
        <w:tc>
          <w:tcPr>
            <w:tcW w:w="992" w:type="dxa"/>
            <w:tcBorders>
              <w:bottom w:val="single" w:sz="4" w:space="0" w:color="00000A"/>
              <w:right w:val="single" w:sz="4" w:space="0" w:color="00000A"/>
            </w:tcBorders>
            <w:shd w:val="clear" w:color="auto" w:fill="auto"/>
            <w:vAlign w:val="center"/>
          </w:tcPr>
          <w:p w14:paraId="66298CA6"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2,6</w:t>
            </w:r>
          </w:p>
        </w:tc>
        <w:tc>
          <w:tcPr>
            <w:tcW w:w="1416" w:type="dxa"/>
            <w:tcBorders>
              <w:bottom w:val="single" w:sz="4" w:space="0" w:color="00000A"/>
              <w:right w:val="single" w:sz="4" w:space="0" w:color="00000A"/>
            </w:tcBorders>
            <w:shd w:val="clear" w:color="auto" w:fill="auto"/>
            <w:vAlign w:val="center"/>
          </w:tcPr>
          <w:p w14:paraId="6305A128"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50 mm</w:t>
            </w:r>
          </w:p>
        </w:tc>
        <w:tc>
          <w:tcPr>
            <w:tcW w:w="1134" w:type="dxa"/>
            <w:tcBorders>
              <w:bottom w:val="single" w:sz="4" w:space="0" w:color="00000A"/>
              <w:right w:val="single" w:sz="8" w:space="0" w:color="00000A"/>
            </w:tcBorders>
            <w:shd w:val="clear" w:color="auto" w:fill="auto"/>
            <w:vAlign w:val="center"/>
          </w:tcPr>
          <w:p w14:paraId="6A04681A"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1,6 m</w:t>
            </w:r>
          </w:p>
        </w:tc>
      </w:tr>
      <w:tr w:rsidR="00B95378" w:rsidRPr="00AB7CC7" w14:paraId="3C8C06A1" w14:textId="77777777" w:rsidTr="00DC5626">
        <w:trPr>
          <w:trHeight w:val="300"/>
        </w:trPr>
        <w:tc>
          <w:tcPr>
            <w:tcW w:w="2022" w:type="dxa"/>
            <w:tcBorders>
              <w:left w:val="single" w:sz="8" w:space="0" w:color="00000A"/>
              <w:bottom w:val="single" w:sz="4" w:space="0" w:color="00000A"/>
              <w:right w:val="single" w:sz="4" w:space="0" w:color="00000A"/>
            </w:tcBorders>
            <w:shd w:val="clear" w:color="auto" w:fill="auto"/>
            <w:tcMar>
              <w:left w:w="60" w:type="dxa"/>
            </w:tcMar>
            <w:vAlign w:val="center"/>
          </w:tcPr>
          <w:p w14:paraId="03E72022" w14:textId="77777777" w:rsidR="00B95378" w:rsidRPr="00AB7CC7" w:rsidRDefault="00B95378" w:rsidP="00DC5626">
            <w:pPr>
              <w:widowControl/>
              <w:suppressAutoHyphens w:val="0"/>
              <w:spacing w:after="0" w:line="240" w:lineRule="auto"/>
              <w:ind w:firstLine="200"/>
              <w:jc w:val="left"/>
              <w:rPr>
                <w:rFonts w:ascii="Calibri" w:hAnsi="Calibri" w:cs="Arial CE"/>
                <w:sz w:val="20"/>
                <w:lang w:eastAsia="cs-CZ"/>
              </w:rPr>
            </w:pPr>
            <w:r w:rsidRPr="00AB7CC7">
              <w:rPr>
                <w:rFonts w:cs="Arial CE"/>
                <w:sz w:val="20"/>
                <w:lang w:eastAsia="cs-CZ"/>
              </w:rPr>
              <w:t>DN 020 - 26,9 x 2,6</w:t>
            </w:r>
          </w:p>
        </w:tc>
        <w:tc>
          <w:tcPr>
            <w:tcW w:w="1135" w:type="dxa"/>
            <w:tcBorders>
              <w:bottom w:val="single" w:sz="4" w:space="0" w:color="00000A"/>
              <w:right w:val="single" w:sz="4" w:space="0" w:color="00000A"/>
            </w:tcBorders>
            <w:shd w:val="clear" w:color="auto" w:fill="auto"/>
            <w:vAlign w:val="center"/>
          </w:tcPr>
          <w:p w14:paraId="54C87125"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26,9</w:t>
            </w:r>
          </w:p>
        </w:tc>
        <w:tc>
          <w:tcPr>
            <w:tcW w:w="851" w:type="dxa"/>
            <w:tcBorders>
              <w:bottom w:val="single" w:sz="4" w:space="0" w:color="00000A"/>
              <w:right w:val="single" w:sz="4" w:space="0" w:color="00000A"/>
            </w:tcBorders>
            <w:shd w:val="clear" w:color="auto" w:fill="auto"/>
            <w:vAlign w:val="center"/>
          </w:tcPr>
          <w:p w14:paraId="28A98C82"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21,7</w:t>
            </w:r>
          </w:p>
        </w:tc>
        <w:tc>
          <w:tcPr>
            <w:tcW w:w="992" w:type="dxa"/>
            <w:tcBorders>
              <w:bottom w:val="single" w:sz="4" w:space="0" w:color="00000A"/>
              <w:right w:val="single" w:sz="4" w:space="0" w:color="00000A"/>
            </w:tcBorders>
            <w:shd w:val="clear" w:color="auto" w:fill="auto"/>
            <w:vAlign w:val="center"/>
          </w:tcPr>
          <w:p w14:paraId="0B801891"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2,6</w:t>
            </w:r>
          </w:p>
        </w:tc>
        <w:tc>
          <w:tcPr>
            <w:tcW w:w="1416" w:type="dxa"/>
            <w:tcBorders>
              <w:bottom w:val="single" w:sz="4" w:space="0" w:color="00000A"/>
              <w:right w:val="single" w:sz="4" w:space="0" w:color="00000A"/>
            </w:tcBorders>
            <w:shd w:val="clear" w:color="auto" w:fill="auto"/>
            <w:vAlign w:val="center"/>
          </w:tcPr>
          <w:p w14:paraId="4C3B3523"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50 mm</w:t>
            </w:r>
          </w:p>
        </w:tc>
        <w:tc>
          <w:tcPr>
            <w:tcW w:w="1134" w:type="dxa"/>
            <w:tcBorders>
              <w:bottom w:val="single" w:sz="4" w:space="0" w:color="00000A"/>
              <w:right w:val="single" w:sz="8" w:space="0" w:color="00000A"/>
            </w:tcBorders>
            <w:shd w:val="clear" w:color="auto" w:fill="auto"/>
            <w:vAlign w:val="center"/>
          </w:tcPr>
          <w:p w14:paraId="16725DFA"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1,85 m</w:t>
            </w:r>
          </w:p>
        </w:tc>
      </w:tr>
      <w:tr w:rsidR="00B95378" w:rsidRPr="00AB7CC7" w14:paraId="794BDCCC" w14:textId="77777777" w:rsidTr="00DC5626">
        <w:trPr>
          <w:trHeight w:val="300"/>
        </w:trPr>
        <w:tc>
          <w:tcPr>
            <w:tcW w:w="2022" w:type="dxa"/>
            <w:tcBorders>
              <w:left w:val="single" w:sz="8" w:space="0" w:color="00000A"/>
              <w:bottom w:val="single" w:sz="4" w:space="0" w:color="00000A"/>
              <w:right w:val="single" w:sz="4" w:space="0" w:color="00000A"/>
            </w:tcBorders>
            <w:shd w:val="clear" w:color="auto" w:fill="auto"/>
            <w:tcMar>
              <w:left w:w="60" w:type="dxa"/>
            </w:tcMar>
            <w:vAlign w:val="center"/>
          </w:tcPr>
          <w:p w14:paraId="62E71AEA" w14:textId="77777777" w:rsidR="00B95378" w:rsidRPr="00AB7CC7" w:rsidRDefault="00B95378" w:rsidP="00DC5626">
            <w:pPr>
              <w:widowControl/>
              <w:suppressAutoHyphens w:val="0"/>
              <w:spacing w:after="0" w:line="240" w:lineRule="auto"/>
              <w:ind w:firstLine="200"/>
              <w:jc w:val="left"/>
              <w:rPr>
                <w:rFonts w:ascii="Calibri" w:hAnsi="Calibri" w:cs="Arial CE"/>
                <w:sz w:val="20"/>
                <w:lang w:eastAsia="cs-CZ"/>
              </w:rPr>
            </w:pPr>
            <w:r w:rsidRPr="00AB7CC7">
              <w:rPr>
                <w:rFonts w:cs="Arial CE"/>
                <w:sz w:val="20"/>
                <w:lang w:eastAsia="cs-CZ"/>
              </w:rPr>
              <w:t>DN 025 - 33,7 x 2,6</w:t>
            </w:r>
          </w:p>
        </w:tc>
        <w:tc>
          <w:tcPr>
            <w:tcW w:w="1135" w:type="dxa"/>
            <w:tcBorders>
              <w:bottom w:val="single" w:sz="4" w:space="0" w:color="00000A"/>
              <w:right w:val="single" w:sz="4" w:space="0" w:color="00000A"/>
            </w:tcBorders>
            <w:shd w:val="clear" w:color="auto" w:fill="auto"/>
            <w:vAlign w:val="center"/>
          </w:tcPr>
          <w:p w14:paraId="57006756"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33,7</w:t>
            </w:r>
          </w:p>
        </w:tc>
        <w:tc>
          <w:tcPr>
            <w:tcW w:w="851" w:type="dxa"/>
            <w:tcBorders>
              <w:bottom w:val="single" w:sz="4" w:space="0" w:color="00000A"/>
              <w:right w:val="single" w:sz="4" w:space="0" w:color="00000A"/>
            </w:tcBorders>
            <w:shd w:val="clear" w:color="auto" w:fill="auto"/>
            <w:vAlign w:val="center"/>
          </w:tcPr>
          <w:p w14:paraId="45893066"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28,5</w:t>
            </w:r>
          </w:p>
        </w:tc>
        <w:tc>
          <w:tcPr>
            <w:tcW w:w="992" w:type="dxa"/>
            <w:tcBorders>
              <w:bottom w:val="single" w:sz="4" w:space="0" w:color="00000A"/>
              <w:right w:val="single" w:sz="4" w:space="0" w:color="00000A"/>
            </w:tcBorders>
            <w:shd w:val="clear" w:color="auto" w:fill="auto"/>
            <w:vAlign w:val="center"/>
          </w:tcPr>
          <w:p w14:paraId="3B1290F2"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2,6</w:t>
            </w:r>
          </w:p>
        </w:tc>
        <w:tc>
          <w:tcPr>
            <w:tcW w:w="1416" w:type="dxa"/>
            <w:tcBorders>
              <w:bottom w:val="single" w:sz="4" w:space="0" w:color="00000A"/>
              <w:right w:val="single" w:sz="4" w:space="0" w:color="00000A"/>
            </w:tcBorders>
            <w:shd w:val="clear" w:color="auto" w:fill="auto"/>
            <w:vAlign w:val="center"/>
          </w:tcPr>
          <w:p w14:paraId="524F703A"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60 mm</w:t>
            </w:r>
          </w:p>
        </w:tc>
        <w:tc>
          <w:tcPr>
            <w:tcW w:w="1134" w:type="dxa"/>
            <w:tcBorders>
              <w:bottom w:val="single" w:sz="4" w:space="0" w:color="00000A"/>
              <w:right w:val="single" w:sz="8" w:space="0" w:color="00000A"/>
            </w:tcBorders>
            <w:shd w:val="clear" w:color="auto" w:fill="auto"/>
            <w:vAlign w:val="center"/>
          </w:tcPr>
          <w:p w14:paraId="4C913284"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2,15 m</w:t>
            </w:r>
          </w:p>
        </w:tc>
      </w:tr>
      <w:tr w:rsidR="00B95378" w:rsidRPr="00AB7CC7" w14:paraId="7778F9E0" w14:textId="77777777" w:rsidTr="00DC5626">
        <w:trPr>
          <w:trHeight w:val="300"/>
        </w:trPr>
        <w:tc>
          <w:tcPr>
            <w:tcW w:w="2022" w:type="dxa"/>
            <w:tcBorders>
              <w:left w:val="single" w:sz="8" w:space="0" w:color="00000A"/>
              <w:bottom w:val="single" w:sz="4" w:space="0" w:color="00000A"/>
              <w:right w:val="single" w:sz="4" w:space="0" w:color="00000A"/>
            </w:tcBorders>
            <w:shd w:val="clear" w:color="auto" w:fill="auto"/>
            <w:tcMar>
              <w:left w:w="60" w:type="dxa"/>
            </w:tcMar>
            <w:vAlign w:val="center"/>
          </w:tcPr>
          <w:p w14:paraId="6E627F0F" w14:textId="77777777" w:rsidR="00B95378" w:rsidRPr="00AB7CC7" w:rsidRDefault="00B95378" w:rsidP="00DC5626">
            <w:pPr>
              <w:widowControl/>
              <w:suppressAutoHyphens w:val="0"/>
              <w:spacing w:after="0" w:line="240" w:lineRule="auto"/>
              <w:ind w:firstLine="200"/>
              <w:jc w:val="left"/>
              <w:rPr>
                <w:rFonts w:ascii="Calibri" w:hAnsi="Calibri" w:cs="Arial CE"/>
                <w:sz w:val="20"/>
                <w:lang w:eastAsia="cs-CZ"/>
              </w:rPr>
            </w:pPr>
            <w:r w:rsidRPr="00AB7CC7">
              <w:rPr>
                <w:rFonts w:cs="Arial CE"/>
                <w:sz w:val="20"/>
                <w:lang w:eastAsia="cs-CZ"/>
              </w:rPr>
              <w:t>DN 032 - 42,4 x 2,6</w:t>
            </w:r>
          </w:p>
        </w:tc>
        <w:tc>
          <w:tcPr>
            <w:tcW w:w="1135" w:type="dxa"/>
            <w:tcBorders>
              <w:bottom w:val="single" w:sz="4" w:space="0" w:color="00000A"/>
              <w:right w:val="single" w:sz="4" w:space="0" w:color="00000A"/>
            </w:tcBorders>
            <w:shd w:val="clear" w:color="auto" w:fill="auto"/>
            <w:vAlign w:val="center"/>
          </w:tcPr>
          <w:p w14:paraId="53B15384"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42,4</w:t>
            </w:r>
          </w:p>
        </w:tc>
        <w:tc>
          <w:tcPr>
            <w:tcW w:w="851" w:type="dxa"/>
            <w:tcBorders>
              <w:bottom w:val="single" w:sz="4" w:space="0" w:color="00000A"/>
              <w:right w:val="single" w:sz="4" w:space="0" w:color="00000A"/>
            </w:tcBorders>
            <w:shd w:val="clear" w:color="auto" w:fill="auto"/>
            <w:vAlign w:val="center"/>
          </w:tcPr>
          <w:p w14:paraId="54DDCC8A"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37,2</w:t>
            </w:r>
          </w:p>
        </w:tc>
        <w:tc>
          <w:tcPr>
            <w:tcW w:w="992" w:type="dxa"/>
            <w:tcBorders>
              <w:bottom w:val="single" w:sz="4" w:space="0" w:color="00000A"/>
              <w:right w:val="single" w:sz="4" w:space="0" w:color="00000A"/>
            </w:tcBorders>
            <w:shd w:val="clear" w:color="auto" w:fill="auto"/>
            <w:vAlign w:val="center"/>
          </w:tcPr>
          <w:p w14:paraId="5BFC9EF3"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2,6</w:t>
            </w:r>
          </w:p>
        </w:tc>
        <w:tc>
          <w:tcPr>
            <w:tcW w:w="1416" w:type="dxa"/>
            <w:tcBorders>
              <w:bottom w:val="single" w:sz="4" w:space="0" w:color="00000A"/>
              <w:right w:val="single" w:sz="4" w:space="0" w:color="00000A"/>
            </w:tcBorders>
            <w:shd w:val="clear" w:color="auto" w:fill="auto"/>
            <w:vAlign w:val="center"/>
          </w:tcPr>
          <w:p w14:paraId="056AC1CC"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60 mm</w:t>
            </w:r>
          </w:p>
        </w:tc>
        <w:tc>
          <w:tcPr>
            <w:tcW w:w="1134" w:type="dxa"/>
            <w:tcBorders>
              <w:bottom w:val="single" w:sz="4" w:space="0" w:color="00000A"/>
              <w:right w:val="single" w:sz="8" w:space="0" w:color="00000A"/>
            </w:tcBorders>
            <w:shd w:val="clear" w:color="auto" w:fill="auto"/>
            <w:vAlign w:val="center"/>
          </w:tcPr>
          <w:p w14:paraId="6B9969B3"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2,5 m</w:t>
            </w:r>
          </w:p>
        </w:tc>
      </w:tr>
      <w:tr w:rsidR="00B95378" w:rsidRPr="00AB7CC7" w14:paraId="496B75FC" w14:textId="77777777" w:rsidTr="00DC5626">
        <w:trPr>
          <w:trHeight w:val="300"/>
        </w:trPr>
        <w:tc>
          <w:tcPr>
            <w:tcW w:w="2022" w:type="dxa"/>
            <w:tcBorders>
              <w:left w:val="single" w:sz="8" w:space="0" w:color="00000A"/>
              <w:bottom w:val="single" w:sz="4" w:space="0" w:color="00000A"/>
              <w:right w:val="single" w:sz="4" w:space="0" w:color="00000A"/>
            </w:tcBorders>
            <w:shd w:val="clear" w:color="auto" w:fill="auto"/>
            <w:tcMar>
              <w:left w:w="60" w:type="dxa"/>
            </w:tcMar>
            <w:vAlign w:val="center"/>
          </w:tcPr>
          <w:p w14:paraId="7716FE55" w14:textId="77777777" w:rsidR="00B95378" w:rsidRPr="00AB7CC7" w:rsidRDefault="00B95378" w:rsidP="00DC5626">
            <w:pPr>
              <w:widowControl/>
              <w:suppressAutoHyphens w:val="0"/>
              <w:spacing w:after="0" w:line="240" w:lineRule="auto"/>
              <w:ind w:firstLine="200"/>
              <w:jc w:val="left"/>
              <w:rPr>
                <w:rFonts w:ascii="Calibri" w:hAnsi="Calibri" w:cs="Arial CE"/>
                <w:sz w:val="20"/>
                <w:lang w:eastAsia="cs-CZ"/>
              </w:rPr>
            </w:pPr>
            <w:r w:rsidRPr="00AB7CC7">
              <w:rPr>
                <w:rFonts w:cs="Arial CE"/>
                <w:sz w:val="20"/>
                <w:lang w:eastAsia="cs-CZ"/>
              </w:rPr>
              <w:t>DN 040 - 48,3 x 2,6</w:t>
            </w:r>
          </w:p>
        </w:tc>
        <w:tc>
          <w:tcPr>
            <w:tcW w:w="1135" w:type="dxa"/>
            <w:tcBorders>
              <w:bottom w:val="single" w:sz="4" w:space="0" w:color="00000A"/>
              <w:right w:val="single" w:sz="4" w:space="0" w:color="00000A"/>
            </w:tcBorders>
            <w:shd w:val="clear" w:color="auto" w:fill="auto"/>
            <w:vAlign w:val="center"/>
          </w:tcPr>
          <w:p w14:paraId="4827FBBD"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48,3</w:t>
            </w:r>
          </w:p>
        </w:tc>
        <w:tc>
          <w:tcPr>
            <w:tcW w:w="851" w:type="dxa"/>
            <w:tcBorders>
              <w:bottom w:val="single" w:sz="4" w:space="0" w:color="00000A"/>
              <w:right w:val="single" w:sz="4" w:space="0" w:color="00000A"/>
            </w:tcBorders>
            <w:shd w:val="clear" w:color="auto" w:fill="auto"/>
            <w:vAlign w:val="center"/>
          </w:tcPr>
          <w:p w14:paraId="40F15B0D"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43,1</w:t>
            </w:r>
          </w:p>
        </w:tc>
        <w:tc>
          <w:tcPr>
            <w:tcW w:w="992" w:type="dxa"/>
            <w:tcBorders>
              <w:bottom w:val="single" w:sz="4" w:space="0" w:color="00000A"/>
              <w:right w:val="single" w:sz="4" w:space="0" w:color="00000A"/>
            </w:tcBorders>
            <w:shd w:val="clear" w:color="auto" w:fill="auto"/>
            <w:vAlign w:val="center"/>
          </w:tcPr>
          <w:p w14:paraId="063ECFF4"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2,6</w:t>
            </w:r>
          </w:p>
        </w:tc>
        <w:tc>
          <w:tcPr>
            <w:tcW w:w="1416" w:type="dxa"/>
            <w:tcBorders>
              <w:bottom w:val="single" w:sz="4" w:space="0" w:color="00000A"/>
              <w:right w:val="single" w:sz="4" w:space="0" w:color="00000A"/>
            </w:tcBorders>
            <w:shd w:val="clear" w:color="auto" w:fill="auto"/>
            <w:vAlign w:val="center"/>
          </w:tcPr>
          <w:p w14:paraId="32BC6908"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60 mm</w:t>
            </w:r>
          </w:p>
        </w:tc>
        <w:tc>
          <w:tcPr>
            <w:tcW w:w="1134" w:type="dxa"/>
            <w:tcBorders>
              <w:bottom w:val="single" w:sz="4" w:space="0" w:color="00000A"/>
              <w:right w:val="single" w:sz="8" w:space="0" w:color="00000A"/>
            </w:tcBorders>
            <w:shd w:val="clear" w:color="auto" w:fill="auto"/>
            <w:vAlign w:val="center"/>
          </w:tcPr>
          <w:p w14:paraId="011623E3"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2,6 m</w:t>
            </w:r>
          </w:p>
        </w:tc>
      </w:tr>
      <w:tr w:rsidR="00B95378" w:rsidRPr="00AB7CC7" w14:paraId="6D5C21A1" w14:textId="77777777" w:rsidTr="00DC5626">
        <w:trPr>
          <w:trHeight w:val="300"/>
        </w:trPr>
        <w:tc>
          <w:tcPr>
            <w:tcW w:w="2022" w:type="dxa"/>
            <w:tcBorders>
              <w:left w:val="single" w:sz="8" w:space="0" w:color="00000A"/>
              <w:bottom w:val="single" w:sz="4" w:space="0" w:color="00000A"/>
              <w:right w:val="single" w:sz="4" w:space="0" w:color="00000A"/>
            </w:tcBorders>
            <w:shd w:val="clear" w:color="auto" w:fill="auto"/>
            <w:tcMar>
              <w:left w:w="60" w:type="dxa"/>
            </w:tcMar>
            <w:vAlign w:val="center"/>
          </w:tcPr>
          <w:p w14:paraId="3A9A1911" w14:textId="77777777" w:rsidR="00B95378" w:rsidRPr="00AB7CC7" w:rsidRDefault="00B95378" w:rsidP="00DC5626">
            <w:pPr>
              <w:widowControl/>
              <w:suppressAutoHyphens w:val="0"/>
              <w:spacing w:after="0" w:line="240" w:lineRule="auto"/>
              <w:ind w:firstLine="200"/>
              <w:jc w:val="left"/>
              <w:rPr>
                <w:rFonts w:ascii="Calibri" w:hAnsi="Calibri" w:cs="Arial CE"/>
                <w:sz w:val="20"/>
                <w:lang w:eastAsia="cs-CZ"/>
              </w:rPr>
            </w:pPr>
            <w:r w:rsidRPr="00AB7CC7">
              <w:rPr>
                <w:rFonts w:cs="Arial CE"/>
                <w:sz w:val="20"/>
                <w:lang w:eastAsia="cs-CZ"/>
              </w:rPr>
              <w:t>DN 050 - 60,3 x 2,9</w:t>
            </w:r>
          </w:p>
        </w:tc>
        <w:tc>
          <w:tcPr>
            <w:tcW w:w="1135" w:type="dxa"/>
            <w:tcBorders>
              <w:bottom w:val="single" w:sz="4" w:space="0" w:color="00000A"/>
              <w:right w:val="single" w:sz="4" w:space="0" w:color="00000A"/>
            </w:tcBorders>
            <w:shd w:val="clear" w:color="auto" w:fill="auto"/>
            <w:vAlign w:val="center"/>
          </w:tcPr>
          <w:p w14:paraId="44C08248"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60,3</w:t>
            </w:r>
          </w:p>
        </w:tc>
        <w:tc>
          <w:tcPr>
            <w:tcW w:w="851" w:type="dxa"/>
            <w:tcBorders>
              <w:bottom w:val="single" w:sz="4" w:space="0" w:color="00000A"/>
              <w:right w:val="single" w:sz="4" w:space="0" w:color="00000A"/>
            </w:tcBorders>
            <w:shd w:val="clear" w:color="auto" w:fill="auto"/>
            <w:vAlign w:val="center"/>
          </w:tcPr>
          <w:p w14:paraId="2852ED95"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54,5</w:t>
            </w:r>
          </w:p>
        </w:tc>
        <w:tc>
          <w:tcPr>
            <w:tcW w:w="992" w:type="dxa"/>
            <w:tcBorders>
              <w:bottom w:val="single" w:sz="4" w:space="0" w:color="00000A"/>
              <w:right w:val="single" w:sz="4" w:space="0" w:color="00000A"/>
            </w:tcBorders>
            <w:shd w:val="clear" w:color="auto" w:fill="auto"/>
            <w:vAlign w:val="center"/>
          </w:tcPr>
          <w:p w14:paraId="10713669"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2,9</w:t>
            </w:r>
          </w:p>
        </w:tc>
        <w:tc>
          <w:tcPr>
            <w:tcW w:w="1416" w:type="dxa"/>
            <w:tcBorders>
              <w:bottom w:val="single" w:sz="4" w:space="0" w:color="00000A"/>
              <w:right w:val="single" w:sz="4" w:space="0" w:color="00000A"/>
            </w:tcBorders>
            <w:shd w:val="clear" w:color="auto" w:fill="auto"/>
            <w:vAlign w:val="center"/>
          </w:tcPr>
          <w:p w14:paraId="62412658"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60 mm</w:t>
            </w:r>
          </w:p>
        </w:tc>
        <w:tc>
          <w:tcPr>
            <w:tcW w:w="1134" w:type="dxa"/>
            <w:tcBorders>
              <w:bottom w:val="single" w:sz="4" w:space="0" w:color="00000A"/>
              <w:right w:val="single" w:sz="8" w:space="0" w:color="00000A"/>
            </w:tcBorders>
            <w:shd w:val="clear" w:color="auto" w:fill="auto"/>
            <w:vAlign w:val="center"/>
          </w:tcPr>
          <w:p w14:paraId="7868F3C1"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3 m</w:t>
            </w:r>
          </w:p>
        </w:tc>
      </w:tr>
      <w:tr w:rsidR="00B95378" w:rsidRPr="00AB7CC7" w14:paraId="5EF4EF1A" w14:textId="77777777" w:rsidTr="00DC5626">
        <w:trPr>
          <w:trHeight w:val="300"/>
        </w:trPr>
        <w:tc>
          <w:tcPr>
            <w:tcW w:w="2022" w:type="dxa"/>
            <w:tcBorders>
              <w:left w:val="single" w:sz="8" w:space="0" w:color="00000A"/>
              <w:bottom w:val="single" w:sz="4" w:space="0" w:color="00000A"/>
              <w:right w:val="single" w:sz="4" w:space="0" w:color="00000A"/>
            </w:tcBorders>
            <w:shd w:val="clear" w:color="auto" w:fill="auto"/>
            <w:tcMar>
              <w:left w:w="60" w:type="dxa"/>
            </w:tcMar>
            <w:vAlign w:val="center"/>
          </w:tcPr>
          <w:p w14:paraId="02831AB3" w14:textId="77777777" w:rsidR="00B95378" w:rsidRPr="00AB7CC7" w:rsidRDefault="00B95378" w:rsidP="00DC5626">
            <w:pPr>
              <w:widowControl/>
              <w:suppressAutoHyphens w:val="0"/>
              <w:spacing w:after="0" w:line="240" w:lineRule="auto"/>
              <w:ind w:firstLine="200"/>
              <w:jc w:val="left"/>
              <w:rPr>
                <w:rFonts w:ascii="Calibri" w:hAnsi="Calibri" w:cs="Arial CE"/>
                <w:sz w:val="20"/>
                <w:lang w:eastAsia="cs-CZ"/>
              </w:rPr>
            </w:pPr>
            <w:r w:rsidRPr="00AB7CC7">
              <w:rPr>
                <w:rFonts w:cs="Arial CE"/>
                <w:sz w:val="20"/>
                <w:lang w:eastAsia="cs-CZ"/>
              </w:rPr>
              <w:t>DN 065 - 76,0 x 3,2</w:t>
            </w:r>
          </w:p>
        </w:tc>
        <w:tc>
          <w:tcPr>
            <w:tcW w:w="1135" w:type="dxa"/>
            <w:tcBorders>
              <w:bottom w:val="single" w:sz="4" w:space="0" w:color="00000A"/>
              <w:right w:val="single" w:sz="4" w:space="0" w:color="00000A"/>
            </w:tcBorders>
            <w:shd w:val="clear" w:color="auto" w:fill="auto"/>
            <w:vAlign w:val="center"/>
          </w:tcPr>
          <w:p w14:paraId="7AA3E638"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76,0</w:t>
            </w:r>
          </w:p>
        </w:tc>
        <w:tc>
          <w:tcPr>
            <w:tcW w:w="851" w:type="dxa"/>
            <w:tcBorders>
              <w:bottom w:val="single" w:sz="4" w:space="0" w:color="00000A"/>
              <w:right w:val="single" w:sz="4" w:space="0" w:color="00000A"/>
            </w:tcBorders>
            <w:shd w:val="clear" w:color="auto" w:fill="auto"/>
            <w:vAlign w:val="center"/>
          </w:tcPr>
          <w:p w14:paraId="7CC3DE17"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69,6</w:t>
            </w:r>
          </w:p>
        </w:tc>
        <w:tc>
          <w:tcPr>
            <w:tcW w:w="992" w:type="dxa"/>
            <w:tcBorders>
              <w:bottom w:val="single" w:sz="4" w:space="0" w:color="00000A"/>
              <w:right w:val="single" w:sz="4" w:space="0" w:color="00000A"/>
            </w:tcBorders>
            <w:shd w:val="clear" w:color="auto" w:fill="auto"/>
            <w:vAlign w:val="center"/>
          </w:tcPr>
          <w:p w14:paraId="012C10EB"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3,2</w:t>
            </w:r>
          </w:p>
        </w:tc>
        <w:tc>
          <w:tcPr>
            <w:tcW w:w="1416" w:type="dxa"/>
            <w:tcBorders>
              <w:bottom w:val="single" w:sz="4" w:space="0" w:color="00000A"/>
              <w:right w:val="single" w:sz="4" w:space="0" w:color="00000A"/>
            </w:tcBorders>
            <w:shd w:val="clear" w:color="auto" w:fill="auto"/>
            <w:vAlign w:val="center"/>
          </w:tcPr>
          <w:p w14:paraId="1291C4E4"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60 mm</w:t>
            </w:r>
          </w:p>
        </w:tc>
        <w:tc>
          <w:tcPr>
            <w:tcW w:w="1134" w:type="dxa"/>
            <w:tcBorders>
              <w:bottom w:val="single" w:sz="4" w:space="0" w:color="00000A"/>
              <w:right w:val="single" w:sz="8" w:space="0" w:color="00000A"/>
            </w:tcBorders>
            <w:shd w:val="clear" w:color="auto" w:fill="auto"/>
            <w:vAlign w:val="center"/>
          </w:tcPr>
          <w:p w14:paraId="7D3B172C"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3,5 m</w:t>
            </w:r>
          </w:p>
        </w:tc>
      </w:tr>
      <w:tr w:rsidR="00B95378" w:rsidRPr="00AB7CC7" w14:paraId="6AAB42C8" w14:textId="77777777" w:rsidTr="00DC5626">
        <w:trPr>
          <w:trHeight w:val="300"/>
        </w:trPr>
        <w:tc>
          <w:tcPr>
            <w:tcW w:w="2022" w:type="dxa"/>
            <w:tcBorders>
              <w:left w:val="single" w:sz="8" w:space="0" w:color="00000A"/>
              <w:bottom w:val="single" w:sz="4" w:space="0" w:color="00000A"/>
              <w:right w:val="single" w:sz="4" w:space="0" w:color="00000A"/>
            </w:tcBorders>
            <w:shd w:val="clear" w:color="auto" w:fill="auto"/>
            <w:tcMar>
              <w:left w:w="60" w:type="dxa"/>
            </w:tcMar>
            <w:vAlign w:val="center"/>
          </w:tcPr>
          <w:p w14:paraId="7585A144" w14:textId="77777777" w:rsidR="00B95378" w:rsidRPr="00AB7CC7" w:rsidRDefault="00B95378" w:rsidP="00DC5626">
            <w:pPr>
              <w:widowControl/>
              <w:suppressAutoHyphens w:val="0"/>
              <w:spacing w:after="0" w:line="240" w:lineRule="auto"/>
              <w:ind w:firstLine="200"/>
              <w:jc w:val="left"/>
              <w:rPr>
                <w:rFonts w:ascii="Calibri" w:hAnsi="Calibri" w:cs="Arial CE"/>
                <w:sz w:val="20"/>
                <w:lang w:eastAsia="cs-CZ"/>
              </w:rPr>
            </w:pPr>
            <w:r w:rsidRPr="00AB7CC7">
              <w:rPr>
                <w:rFonts w:cs="Arial CE"/>
                <w:sz w:val="20"/>
                <w:lang w:eastAsia="cs-CZ"/>
              </w:rPr>
              <w:t>DN 080 - 88,9 x 3,6</w:t>
            </w:r>
          </w:p>
        </w:tc>
        <w:tc>
          <w:tcPr>
            <w:tcW w:w="1135" w:type="dxa"/>
            <w:tcBorders>
              <w:bottom w:val="single" w:sz="4" w:space="0" w:color="00000A"/>
              <w:right w:val="single" w:sz="4" w:space="0" w:color="00000A"/>
            </w:tcBorders>
            <w:shd w:val="clear" w:color="auto" w:fill="auto"/>
            <w:vAlign w:val="center"/>
          </w:tcPr>
          <w:p w14:paraId="2288B254"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88,9</w:t>
            </w:r>
          </w:p>
        </w:tc>
        <w:tc>
          <w:tcPr>
            <w:tcW w:w="851" w:type="dxa"/>
            <w:tcBorders>
              <w:bottom w:val="single" w:sz="4" w:space="0" w:color="00000A"/>
              <w:right w:val="single" w:sz="4" w:space="0" w:color="00000A"/>
            </w:tcBorders>
            <w:shd w:val="clear" w:color="auto" w:fill="auto"/>
            <w:vAlign w:val="center"/>
          </w:tcPr>
          <w:p w14:paraId="712E0778"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81,7</w:t>
            </w:r>
          </w:p>
        </w:tc>
        <w:tc>
          <w:tcPr>
            <w:tcW w:w="992" w:type="dxa"/>
            <w:tcBorders>
              <w:bottom w:val="single" w:sz="4" w:space="0" w:color="00000A"/>
              <w:right w:val="single" w:sz="4" w:space="0" w:color="00000A"/>
            </w:tcBorders>
            <w:shd w:val="clear" w:color="auto" w:fill="auto"/>
            <w:vAlign w:val="center"/>
          </w:tcPr>
          <w:p w14:paraId="0DE18753"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3,6</w:t>
            </w:r>
          </w:p>
        </w:tc>
        <w:tc>
          <w:tcPr>
            <w:tcW w:w="1416" w:type="dxa"/>
            <w:tcBorders>
              <w:bottom w:val="single" w:sz="4" w:space="0" w:color="00000A"/>
              <w:right w:val="single" w:sz="4" w:space="0" w:color="00000A"/>
            </w:tcBorders>
            <w:shd w:val="clear" w:color="auto" w:fill="auto"/>
            <w:vAlign w:val="center"/>
          </w:tcPr>
          <w:p w14:paraId="20113107"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60 mm</w:t>
            </w:r>
          </w:p>
        </w:tc>
        <w:tc>
          <w:tcPr>
            <w:tcW w:w="1134" w:type="dxa"/>
            <w:tcBorders>
              <w:bottom w:val="single" w:sz="4" w:space="0" w:color="00000A"/>
              <w:right w:val="single" w:sz="8" w:space="0" w:color="00000A"/>
            </w:tcBorders>
            <w:shd w:val="clear" w:color="auto" w:fill="auto"/>
            <w:vAlign w:val="center"/>
          </w:tcPr>
          <w:p w14:paraId="4E92A405"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3,8 m</w:t>
            </w:r>
          </w:p>
        </w:tc>
      </w:tr>
      <w:tr w:rsidR="00B95378" w:rsidRPr="00AB7CC7" w14:paraId="58564080" w14:textId="77777777" w:rsidTr="00DC5626">
        <w:trPr>
          <w:trHeight w:val="300"/>
        </w:trPr>
        <w:tc>
          <w:tcPr>
            <w:tcW w:w="2022" w:type="dxa"/>
            <w:tcBorders>
              <w:left w:val="single" w:sz="8" w:space="0" w:color="00000A"/>
              <w:bottom w:val="single" w:sz="4" w:space="0" w:color="00000A"/>
              <w:right w:val="single" w:sz="4" w:space="0" w:color="00000A"/>
            </w:tcBorders>
            <w:shd w:val="clear" w:color="auto" w:fill="auto"/>
            <w:tcMar>
              <w:left w:w="60" w:type="dxa"/>
            </w:tcMar>
          </w:tcPr>
          <w:p w14:paraId="472DF33C" w14:textId="77777777" w:rsidR="00B95378" w:rsidRPr="00AB7CC7" w:rsidRDefault="00B95378" w:rsidP="00DC5626">
            <w:pPr>
              <w:widowControl/>
              <w:suppressAutoHyphens w:val="0"/>
              <w:spacing w:after="0" w:line="240" w:lineRule="auto"/>
              <w:ind w:firstLine="200"/>
              <w:jc w:val="left"/>
              <w:rPr>
                <w:rFonts w:ascii="Calibri" w:hAnsi="Calibri" w:cs="Arial CE"/>
                <w:sz w:val="20"/>
                <w:lang w:eastAsia="cs-CZ"/>
              </w:rPr>
            </w:pPr>
            <w:r w:rsidRPr="00AB7CC7">
              <w:rPr>
                <w:rFonts w:cs="Arial CE"/>
                <w:sz w:val="20"/>
                <w:lang w:eastAsia="cs-CZ"/>
              </w:rPr>
              <w:t xml:space="preserve">DN </w:t>
            </w:r>
            <w:proofErr w:type="gramStart"/>
            <w:r w:rsidRPr="00AB7CC7">
              <w:rPr>
                <w:rFonts w:cs="Arial CE"/>
                <w:sz w:val="20"/>
                <w:lang w:eastAsia="cs-CZ"/>
              </w:rPr>
              <w:t>100 - 114</w:t>
            </w:r>
            <w:proofErr w:type="gramEnd"/>
            <w:r w:rsidRPr="00AB7CC7">
              <w:rPr>
                <w:rFonts w:cs="Arial CE"/>
                <w:sz w:val="20"/>
                <w:lang w:eastAsia="cs-CZ"/>
              </w:rPr>
              <w:t>,3x3,6</w:t>
            </w:r>
          </w:p>
        </w:tc>
        <w:tc>
          <w:tcPr>
            <w:tcW w:w="1135" w:type="dxa"/>
            <w:tcBorders>
              <w:bottom w:val="single" w:sz="4" w:space="0" w:color="00000A"/>
              <w:right w:val="single" w:sz="4" w:space="0" w:color="00000A"/>
            </w:tcBorders>
            <w:shd w:val="clear" w:color="auto" w:fill="auto"/>
          </w:tcPr>
          <w:p w14:paraId="48D912F2"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114,3</w:t>
            </w:r>
          </w:p>
        </w:tc>
        <w:tc>
          <w:tcPr>
            <w:tcW w:w="851" w:type="dxa"/>
            <w:tcBorders>
              <w:bottom w:val="single" w:sz="4" w:space="0" w:color="00000A"/>
              <w:right w:val="single" w:sz="4" w:space="0" w:color="00000A"/>
            </w:tcBorders>
            <w:shd w:val="clear" w:color="auto" w:fill="auto"/>
          </w:tcPr>
          <w:p w14:paraId="4AB8B910"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107,1</w:t>
            </w:r>
          </w:p>
        </w:tc>
        <w:tc>
          <w:tcPr>
            <w:tcW w:w="992" w:type="dxa"/>
            <w:tcBorders>
              <w:bottom w:val="single" w:sz="4" w:space="0" w:color="00000A"/>
              <w:right w:val="single" w:sz="4" w:space="0" w:color="00000A"/>
            </w:tcBorders>
            <w:shd w:val="clear" w:color="auto" w:fill="auto"/>
          </w:tcPr>
          <w:p w14:paraId="2BA06AEA"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3,6</w:t>
            </w:r>
          </w:p>
        </w:tc>
        <w:tc>
          <w:tcPr>
            <w:tcW w:w="1416" w:type="dxa"/>
            <w:tcBorders>
              <w:bottom w:val="single" w:sz="4" w:space="0" w:color="00000A"/>
              <w:right w:val="single" w:sz="4" w:space="0" w:color="00000A"/>
            </w:tcBorders>
            <w:shd w:val="clear" w:color="auto" w:fill="auto"/>
          </w:tcPr>
          <w:p w14:paraId="44324D27"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60 mm</w:t>
            </w:r>
          </w:p>
        </w:tc>
        <w:tc>
          <w:tcPr>
            <w:tcW w:w="1134" w:type="dxa"/>
            <w:tcBorders>
              <w:bottom w:val="single" w:sz="4" w:space="0" w:color="00000A"/>
              <w:right w:val="single" w:sz="8" w:space="0" w:color="00000A"/>
            </w:tcBorders>
            <w:shd w:val="clear" w:color="auto" w:fill="auto"/>
          </w:tcPr>
          <w:p w14:paraId="58C6A935"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6,00 m</w:t>
            </w:r>
          </w:p>
        </w:tc>
      </w:tr>
      <w:tr w:rsidR="00B95378" w:rsidRPr="00AB7CC7" w14:paraId="03269DC7" w14:textId="77777777" w:rsidTr="00DC5626">
        <w:trPr>
          <w:trHeight w:val="300"/>
        </w:trPr>
        <w:tc>
          <w:tcPr>
            <w:tcW w:w="7550" w:type="dxa"/>
            <w:gridSpan w:val="6"/>
            <w:tcBorders>
              <w:top w:val="single" w:sz="8" w:space="0" w:color="00000A"/>
              <w:left w:val="single" w:sz="8" w:space="0" w:color="00000A"/>
              <w:bottom w:val="single" w:sz="4" w:space="0" w:color="00000A"/>
              <w:right w:val="single" w:sz="8" w:space="0" w:color="000001"/>
            </w:tcBorders>
            <w:shd w:val="clear" w:color="auto" w:fill="auto"/>
            <w:tcMar>
              <w:left w:w="60" w:type="dxa"/>
            </w:tcMar>
            <w:vAlign w:val="center"/>
          </w:tcPr>
          <w:p w14:paraId="7FF55E11" w14:textId="77777777" w:rsidR="00B95378" w:rsidRPr="00AB7CC7" w:rsidRDefault="00B95378" w:rsidP="00DC5626">
            <w:pPr>
              <w:widowControl/>
              <w:suppressAutoHyphens w:val="0"/>
              <w:spacing w:after="0" w:line="240" w:lineRule="auto"/>
              <w:ind w:firstLine="0"/>
              <w:jc w:val="left"/>
              <w:rPr>
                <w:rFonts w:ascii="Calibri" w:hAnsi="Calibri" w:cs="Arial CE"/>
                <w:sz w:val="20"/>
                <w:lang w:eastAsia="cs-CZ"/>
              </w:rPr>
            </w:pPr>
            <w:r w:rsidRPr="00AB7CC7">
              <w:rPr>
                <w:rFonts w:cs="Arial CE"/>
                <w:sz w:val="20"/>
                <w:lang w:eastAsia="cs-CZ"/>
              </w:rPr>
              <w:t xml:space="preserve">* Podle vyhlášky č. 193/2007, λiz = 0,04 W/m*K, t. média </w:t>
            </w:r>
            <w:proofErr w:type="gramStart"/>
            <w:r w:rsidRPr="00AB7CC7">
              <w:rPr>
                <w:rFonts w:cs="Arial CE"/>
                <w:sz w:val="20"/>
                <w:lang w:eastAsia="cs-CZ"/>
              </w:rPr>
              <w:t>100°C</w:t>
            </w:r>
            <w:proofErr w:type="gramEnd"/>
            <w:r w:rsidRPr="00AB7CC7">
              <w:rPr>
                <w:rFonts w:cs="Arial CE"/>
                <w:sz w:val="20"/>
                <w:lang w:eastAsia="cs-CZ"/>
              </w:rPr>
              <w:t>, t. okolí 10°C</w:t>
            </w:r>
          </w:p>
        </w:tc>
      </w:tr>
      <w:tr w:rsidR="00B95378" w:rsidRPr="00AB7CC7" w14:paraId="66A3781A" w14:textId="77777777" w:rsidTr="00DC5626">
        <w:trPr>
          <w:trHeight w:val="300"/>
        </w:trPr>
        <w:tc>
          <w:tcPr>
            <w:tcW w:w="7550" w:type="dxa"/>
            <w:gridSpan w:val="6"/>
            <w:tcBorders>
              <w:left w:val="single" w:sz="8" w:space="0" w:color="00000A"/>
              <w:bottom w:val="single" w:sz="8" w:space="0" w:color="00000A"/>
              <w:right w:val="single" w:sz="8" w:space="0" w:color="00000A"/>
            </w:tcBorders>
            <w:shd w:val="clear" w:color="auto" w:fill="auto"/>
            <w:tcMar>
              <w:left w:w="60" w:type="dxa"/>
            </w:tcMar>
            <w:vAlign w:val="center"/>
          </w:tcPr>
          <w:p w14:paraId="7B7F8879" w14:textId="77777777" w:rsidR="00B95378" w:rsidRPr="00AB7CC7" w:rsidRDefault="00B95378" w:rsidP="00DC5626">
            <w:pPr>
              <w:widowControl/>
              <w:suppressAutoHyphens w:val="0"/>
              <w:spacing w:after="0" w:line="240" w:lineRule="auto"/>
              <w:ind w:firstLine="0"/>
              <w:jc w:val="left"/>
              <w:rPr>
                <w:rFonts w:ascii="Calibri" w:hAnsi="Calibri" w:cs="Arial CE"/>
                <w:sz w:val="20"/>
                <w:lang w:eastAsia="cs-CZ"/>
              </w:rPr>
            </w:pPr>
            <w:r w:rsidRPr="00AB7CC7">
              <w:rPr>
                <w:rFonts w:cs="Arial CE"/>
                <w:sz w:val="20"/>
                <w:lang w:eastAsia="cs-CZ"/>
              </w:rPr>
              <w:t xml:space="preserve">** Maximální doporučená vzdálenost </w:t>
            </w:r>
            <w:proofErr w:type="gramStart"/>
            <w:r w:rsidRPr="00AB7CC7">
              <w:rPr>
                <w:rFonts w:cs="Arial CE"/>
                <w:sz w:val="20"/>
                <w:lang w:eastAsia="cs-CZ"/>
              </w:rPr>
              <w:t>upevnění - technická</w:t>
            </w:r>
            <w:proofErr w:type="gramEnd"/>
            <w:r w:rsidRPr="00AB7CC7">
              <w:rPr>
                <w:rFonts w:cs="Arial CE"/>
                <w:sz w:val="20"/>
                <w:lang w:eastAsia="cs-CZ"/>
              </w:rPr>
              <w:t xml:space="preserve"> dokumentace Koňařík </w:t>
            </w:r>
          </w:p>
        </w:tc>
      </w:tr>
    </w:tbl>
    <w:p w14:paraId="28436ED0" w14:textId="77777777" w:rsidR="00B95378" w:rsidRPr="00AB7CC7" w:rsidRDefault="00B95378" w:rsidP="00B95378"/>
    <w:p w14:paraId="3DFEF495" w14:textId="77777777" w:rsidR="00B95378" w:rsidRPr="00AB7CC7" w:rsidRDefault="00B95378" w:rsidP="00B95378">
      <w:r w:rsidRPr="00AB7CC7">
        <w:t>Potrubní rozvody TV a cirkulace budou z materiálu PPR, budou opatřeny návlekovou izolací pro snížení tepelných ztrát.</w:t>
      </w:r>
    </w:p>
    <w:p w14:paraId="78F9DBDB" w14:textId="77777777" w:rsidR="00AB7CC7" w:rsidRPr="00AB7CC7" w:rsidRDefault="00AB7CC7" w:rsidP="00B95378"/>
    <w:p w14:paraId="247457B2" w14:textId="77777777" w:rsidR="00B95378" w:rsidRPr="00AB7CC7" w:rsidRDefault="00B95378" w:rsidP="00B95378"/>
    <w:tbl>
      <w:tblPr>
        <w:tblW w:w="7480" w:type="dxa"/>
        <w:tblInd w:w="-110" w:type="dxa"/>
        <w:tblBorders>
          <w:top w:val="single" w:sz="8" w:space="0" w:color="00000A"/>
          <w:left w:val="single" w:sz="8" w:space="0" w:color="00000A"/>
          <w:bottom w:val="single" w:sz="8" w:space="0" w:color="000001"/>
          <w:right w:val="single" w:sz="4" w:space="0" w:color="00000A"/>
          <w:insideH w:val="single" w:sz="8" w:space="0" w:color="000001"/>
          <w:insideV w:val="single" w:sz="4" w:space="0" w:color="00000A"/>
        </w:tblBorders>
        <w:tblCellMar>
          <w:left w:w="60" w:type="dxa"/>
          <w:right w:w="70" w:type="dxa"/>
        </w:tblCellMar>
        <w:tblLook w:val="04A0" w:firstRow="1" w:lastRow="0" w:firstColumn="1" w:lastColumn="0" w:noHBand="0" w:noVBand="1"/>
      </w:tblPr>
      <w:tblGrid>
        <w:gridCol w:w="2381"/>
        <w:gridCol w:w="920"/>
        <w:gridCol w:w="920"/>
        <w:gridCol w:w="920"/>
        <w:gridCol w:w="920"/>
        <w:gridCol w:w="1419"/>
      </w:tblGrid>
      <w:tr w:rsidR="00B95378" w:rsidRPr="00AB7CC7" w14:paraId="59990F04" w14:textId="77777777" w:rsidTr="00DC5626">
        <w:trPr>
          <w:trHeight w:val="300"/>
        </w:trPr>
        <w:tc>
          <w:tcPr>
            <w:tcW w:w="2381" w:type="dxa"/>
            <w:vMerge w:val="restart"/>
            <w:tcBorders>
              <w:top w:val="single" w:sz="8" w:space="0" w:color="00000A"/>
              <w:left w:val="single" w:sz="8" w:space="0" w:color="00000A"/>
              <w:bottom w:val="single" w:sz="8" w:space="0" w:color="000001"/>
              <w:right w:val="single" w:sz="4" w:space="0" w:color="00000A"/>
            </w:tcBorders>
            <w:shd w:val="clear" w:color="000000" w:fill="D8D8D8"/>
            <w:tcMar>
              <w:left w:w="60" w:type="dxa"/>
            </w:tcMar>
            <w:vAlign w:val="center"/>
          </w:tcPr>
          <w:p w14:paraId="1E551A50" w14:textId="77777777" w:rsidR="00B95378" w:rsidRPr="00AB7CC7" w:rsidRDefault="00B95378" w:rsidP="00DC5626">
            <w:pPr>
              <w:widowControl/>
              <w:suppressAutoHyphens w:val="0"/>
              <w:spacing w:after="0" w:line="240" w:lineRule="auto"/>
              <w:ind w:firstLine="201"/>
              <w:jc w:val="left"/>
              <w:rPr>
                <w:rFonts w:ascii="Calibri" w:hAnsi="Calibri" w:cs="Arial CE"/>
                <w:b/>
                <w:bCs/>
                <w:sz w:val="20"/>
                <w:lang w:eastAsia="cs-CZ"/>
              </w:rPr>
            </w:pPr>
            <w:r w:rsidRPr="00AB7CC7">
              <w:rPr>
                <w:rFonts w:cs="Arial CE"/>
                <w:b/>
                <w:bCs/>
                <w:sz w:val="20"/>
                <w:lang w:eastAsia="cs-CZ"/>
              </w:rPr>
              <w:t>Trubka PPR PN 20</w:t>
            </w:r>
          </w:p>
        </w:tc>
        <w:tc>
          <w:tcPr>
            <w:tcW w:w="920" w:type="dxa"/>
            <w:vMerge w:val="restart"/>
            <w:tcBorders>
              <w:top w:val="single" w:sz="8" w:space="0" w:color="00000A"/>
              <w:left w:val="single" w:sz="4" w:space="0" w:color="00000A"/>
              <w:bottom w:val="single" w:sz="8" w:space="0" w:color="000001"/>
              <w:right w:val="single" w:sz="4" w:space="0" w:color="00000A"/>
            </w:tcBorders>
            <w:shd w:val="clear" w:color="000000" w:fill="D8D8D8"/>
            <w:tcMar>
              <w:left w:w="65" w:type="dxa"/>
            </w:tcMar>
            <w:vAlign w:val="center"/>
          </w:tcPr>
          <w:p w14:paraId="41DF2FF3" w14:textId="77777777" w:rsidR="00B95378" w:rsidRPr="00AB7CC7" w:rsidRDefault="00B95378" w:rsidP="00DC5626">
            <w:pPr>
              <w:widowControl/>
              <w:suppressAutoHyphens w:val="0"/>
              <w:spacing w:after="0" w:line="240" w:lineRule="auto"/>
              <w:ind w:firstLine="0"/>
              <w:jc w:val="center"/>
              <w:rPr>
                <w:rFonts w:ascii="Calibri" w:hAnsi="Calibri" w:cs="Arial CE"/>
                <w:b/>
                <w:bCs/>
                <w:color w:val="000000"/>
                <w:sz w:val="20"/>
                <w:lang w:eastAsia="cs-CZ"/>
              </w:rPr>
            </w:pPr>
            <w:r w:rsidRPr="00AB7CC7">
              <w:rPr>
                <w:rFonts w:cs="Arial CE"/>
                <w:b/>
                <w:bCs/>
                <w:color w:val="000000"/>
                <w:sz w:val="20"/>
                <w:lang w:eastAsia="cs-CZ"/>
              </w:rPr>
              <w:t>D</w:t>
            </w:r>
          </w:p>
        </w:tc>
        <w:tc>
          <w:tcPr>
            <w:tcW w:w="920" w:type="dxa"/>
            <w:vMerge w:val="restart"/>
            <w:tcBorders>
              <w:top w:val="single" w:sz="8" w:space="0" w:color="00000A"/>
              <w:left w:val="single" w:sz="4" w:space="0" w:color="00000A"/>
              <w:bottom w:val="single" w:sz="8" w:space="0" w:color="000001"/>
              <w:right w:val="single" w:sz="4" w:space="0" w:color="00000A"/>
            </w:tcBorders>
            <w:shd w:val="clear" w:color="000000" w:fill="D8D8D8"/>
            <w:tcMar>
              <w:left w:w="65" w:type="dxa"/>
            </w:tcMar>
            <w:vAlign w:val="center"/>
          </w:tcPr>
          <w:p w14:paraId="2A3F62A8" w14:textId="77777777" w:rsidR="00B95378" w:rsidRPr="00AB7CC7" w:rsidRDefault="00B95378" w:rsidP="00DC5626">
            <w:pPr>
              <w:widowControl/>
              <w:suppressAutoHyphens w:val="0"/>
              <w:spacing w:after="0" w:line="240" w:lineRule="auto"/>
              <w:ind w:firstLine="0"/>
              <w:jc w:val="center"/>
              <w:rPr>
                <w:rFonts w:ascii="Calibri" w:hAnsi="Calibri" w:cs="Arial CE"/>
                <w:b/>
                <w:bCs/>
                <w:color w:val="000000"/>
                <w:sz w:val="20"/>
                <w:lang w:eastAsia="cs-CZ"/>
              </w:rPr>
            </w:pPr>
            <w:r w:rsidRPr="00AB7CC7">
              <w:rPr>
                <w:rFonts w:cs="Arial CE"/>
                <w:b/>
                <w:bCs/>
                <w:color w:val="000000"/>
                <w:sz w:val="20"/>
                <w:lang w:eastAsia="cs-CZ"/>
              </w:rPr>
              <w:t>d</w:t>
            </w:r>
          </w:p>
        </w:tc>
        <w:tc>
          <w:tcPr>
            <w:tcW w:w="920" w:type="dxa"/>
            <w:vMerge w:val="restart"/>
            <w:tcBorders>
              <w:top w:val="single" w:sz="8" w:space="0" w:color="00000A"/>
              <w:left w:val="single" w:sz="4" w:space="0" w:color="00000A"/>
              <w:bottom w:val="single" w:sz="8" w:space="0" w:color="000001"/>
              <w:right w:val="single" w:sz="4" w:space="0" w:color="00000A"/>
            </w:tcBorders>
            <w:shd w:val="clear" w:color="000000" w:fill="D8D8D8"/>
            <w:tcMar>
              <w:left w:w="65" w:type="dxa"/>
            </w:tcMar>
            <w:vAlign w:val="center"/>
          </w:tcPr>
          <w:p w14:paraId="5CB897A7" w14:textId="77777777" w:rsidR="00B95378" w:rsidRPr="00AB7CC7" w:rsidRDefault="00B95378" w:rsidP="00DC5626">
            <w:pPr>
              <w:widowControl/>
              <w:suppressAutoHyphens w:val="0"/>
              <w:spacing w:after="0" w:line="240" w:lineRule="auto"/>
              <w:ind w:firstLine="0"/>
              <w:jc w:val="center"/>
              <w:rPr>
                <w:rFonts w:ascii="Calibri" w:hAnsi="Calibri" w:cs="Arial CE"/>
                <w:b/>
                <w:bCs/>
                <w:color w:val="000000"/>
                <w:sz w:val="20"/>
                <w:lang w:eastAsia="cs-CZ"/>
              </w:rPr>
            </w:pPr>
            <w:r w:rsidRPr="00AB7CC7">
              <w:rPr>
                <w:rFonts w:cs="Arial CE"/>
                <w:b/>
                <w:bCs/>
                <w:color w:val="000000"/>
                <w:sz w:val="20"/>
                <w:lang w:eastAsia="cs-CZ"/>
              </w:rPr>
              <w:t>t</w:t>
            </w:r>
          </w:p>
        </w:tc>
        <w:tc>
          <w:tcPr>
            <w:tcW w:w="920" w:type="dxa"/>
            <w:vMerge w:val="restart"/>
            <w:tcBorders>
              <w:top w:val="single" w:sz="8" w:space="0" w:color="00000A"/>
              <w:left w:val="single" w:sz="4" w:space="0" w:color="00000A"/>
              <w:bottom w:val="single" w:sz="8" w:space="0" w:color="000001"/>
              <w:right w:val="single" w:sz="4" w:space="0" w:color="00000A"/>
            </w:tcBorders>
            <w:shd w:val="clear" w:color="000000" w:fill="D8D8D8"/>
            <w:tcMar>
              <w:left w:w="65" w:type="dxa"/>
            </w:tcMar>
            <w:vAlign w:val="center"/>
          </w:tcPr>
          <w:p w14:paraId="309ECC98" w14:textId="77777777" w:rsidR="00B95378" w:rsidRPr="00AB7CC7" w:rsidRDefault="00B95378" w:rsidP="00DC5626">
            <w:pPr>
              <w:widowControl/>
              <w:suppressAutoHyphens w:val="0"/>
              <w:spacing w:after="0" w:line="240" w:lineRule="auto"/>
              <w:ind w:firstLine="0"/>
              <w:jc w:val="center"/>
              <w:rPr>
                <w:rFonts w:ascii="Calibri" w:hAnsi="Calibri" w:cs="Arial CE"/>
                <w:b/>
                <w:bCs/>
                <w:color w:val="000000"/>
                <w:sz w:val="20"/>
                <w:lang w:eastAsia="cs-CZ"/>
              </w:rPr>
            </w:pPr>
            <w:r w:rsidRPr="00AB7CC7">
              <w:rPr>
                <w:rFonts w:cs="Arial CE"/>
                <w:b/>
                <w:bCs/>
                <w:color w:val="000000"/>
                <w:sz w:val="20"/>
                <w:lang w:eastAsia="cs-CZ"/>
              </w:rPr>
              <w:t>tloušťka</w:t>
            </w:r>
            <w:r w:rsidRPr="00AB7CC7">
              <w:rPr>
                <w:rFonts w:cs="Arial CE"/>
                <w:b/>
                <w:bCs/>
                <w:color w:val="000000"/>
                <w:sz w:val="20"/>
                <w:lang w:eastAsia="cs-CZ"/>
              </w:rPr>
              <w:br/>
              <w:t>izolace *</w:t>
            </w:r>
          </w:p>
        </w:tc>
        <w:tc>
          <w:tcPr>
            <w:tcW w:w="1419" w:type="dxa"/>
            <w:vMerge w:val="restart"/>
            <w:tcBorders>
              <w:top w:val="single" w:sz="8" w:space="0" w:color="00000A"/>
              <w:left w:val="single" w:sz="4" w:space="0" w:color="00000A"/>
              <w:bottom w:val="single" w:sz="8" w:space="0" w:color="000001"/>
              <w:right w:val="single" w:sz="8" w:space="0" w:color="00000A"/>
            </w:tcBorders>
            <w:shd w:val="clear" w:color="000000" w:fill="D8D8D8"/>
            <w:tcMar>
              <w:left w:w="65" w:type="dxa"/>
            </w:tcMar>
            <w:vAlign w:val="center"/>
          </w:tcPr>
          <w:p w14:paraId="571B9E69" w14:textId="77777777" w:rsidR="00B95378" w:rsidRPr="00AB7CC7" w:rsidRDefault="00B95378" w:rsidP="00DC5626">
            <w:pPr>
              <w:widowControl/>
              <w:suppressAutoHyphens w:val="0"/>
              <w:spacing w:after="0" w:line="240" w:lineRule="auto"/>
              <w:ind w:firstLine="0"/>
              <w:jc w:val="center"/>
              <w:rPr>
                <w:rFonts w:ascii="Calibri" w:hAnsi="Calibri" w:cs="Arial CE"/>
                <w:b/>
                <w:bCs/>
                <w:color w:val="000000"/>
                <w:sz w:val="20"/>
                <w:lang w:eastAsia="cs-CZ"/>
              </w:rPr>
            </w:pPr>
            <w:r w:rsidRPr="00AB7CC7">
              <w:rPr>
                <w:rFonts w:cs="Arial CE"/>
                <w:b/>
                <w:bCs/>
                <w:color w:val="000000"/>
                <w:sz w:val="20"/>
                <w:lang w:eastAsia="cs-CZ"/>
              </w:rPr>
              <w:t>maximální</w:t>
            </w:r>
            <w:r w:rsidRPr="00AB7CC7">
              <w:rPr>
                <w:rFonts w:cs="Arial CE"/>
                <w:b/>
                <w:bCs/>
                <w:color w:val="000000"/>
                <w:sz w:val="20"/>
                <w:lang w:eastAsia="cs-CZ"/>
              </w:rPr>
              <w:br/>
              <w:t>uložení **</w:t>
            </w:r>
          </w:p>
        </w:tc>
      </w:tr>
      <w:tr w:rsidR="00B95378" w:rsidRPr="00AB7CC7" w14:paraId="4365CFF4" w14:textId="77777777" w:rsidTr="00DC5626">
        <w:trPr>
          <w:trHeight w:val="244"/>
        </w:trPr>
        <w:tc>
          <w:tcPr>
            <w:tcW w:w="2381" w:type="dxa"/>
            <w:vMerge/>
            <w:tcBorders>
              <w:top w:val="single" w:sz="8" w:space="0" w:color="00000A"/>
              <w:left w:val="single" w:sz="8" w:space="0" w:color="00000A"/>
              <w:bottom w:val="single" w:sz="8" w:space="0" w:color="000001"/>
              <w:right w:val="single" w:sz="4" w:space="0" w:color="00000A"/>
            </w:tcBorders>
            <w:shd w:val="clear" w:color="auto" w:fill="auto"/>
            <w:tcMar>
              <w:left w:w="60" w:type="dxa"/>
            </w:tcMar>
            <w:vAlign w:val="center"/>
          </w:tcPr>
          <w:p w14:paraId="5FE1E35E" w14:textId="77777777" w:rsidR="00B95378" w:rsidRPr="00AB7CC7" w:rsidRDefault="00B95378" w:rsidP="00DC5626">
            <w:pPr>
              <w:widowControl/>
              <w:suppressAutoHyphens w:val="0"/>
              <w:spacing w:after="0" w:line="240" w:lineRule="auto"/>
              <w:ind w:firstLine="0"/>
              <w:jc w:val="left"/>
              <w:rPr>
                <w:rFonts w:ascii="Calibri" w:hAnsi="Calibri" w:cs="Arial CE"/>
                <w:b/>
                <w:bCs/>
                <w:sz w:val="20"/>
                <w:lang w:eastAsia="cs-CZ"/>
              </w:rPr>
            </w:pPr>
          </w:p>
        </w:tc>
        <w:tc>
          <w:tcPr>
            <w:tcW w:w="920" w:type="dxa"/>
            <w:vMerge/>
            <w:tcBorders>
              <w:top w:val="single" w:sz="8" w:space="0" w:color="00000A"/>
              <w:left w:val="single" w:sz="4" w:space="0" w:color="00000A"/>
              <w:bottom w:val="single" w:sz="8" w:space="0" w:color="000001"/>
              <w:right w:val="single" w:sz="4" w:space="0" w:color="00000A"/>
            </w:tcBorders>
            <w:shd w:val="clear" w:color="auto" w:fill="auto"/>
            <w:tcMar>
              <w:left w:w="65" w:type="dxa"/>
            </w:tcMar>
            <w:vAlign w:val="center"/>
          </w:tcPr>
          <w:p w14:paraId="77DC81F5" w14:textId="77777777" w:rsidR="00B95378" w:rsidRPr="00AB7CC7" w:rsidRDefault="00B95378" w:rsidP="00DC5626">
            <w:pPr>
              <w:widowControl/>
              <w:suppressAutoHyphens w:val="0"/>
              <w:spacing w:after="0" w:line="240" w:lineRule="auto"/>
              <w:ind w:firstLine="0"/>
              <w:jc w:val="left"/>
              <w:rPr>
                <w:rFonts w:ascii="Calibri" w:hAnsi="Calibri" w:cs="Arial CE"/>
                <w:b/>
                <w:bCs/>
                <w:color w:val="000000"/>
                <w:sz w:val="20"/>
                <w:lang w:eastAsia="cs-CZ"/>
              </w:rPr>
            </w:pPr>
          </w:p>
        </w:tc>
        <w:tc>
          <w:tcPr>
            <w:tcW w:w="920" w:type="dxa"/>
            <w:vMerge/>
            <w:tcBorders>
              <w:top w:val="single" w:sz="8" w:space="0" w:color="00000A"/>
              <w:left w:val="single" w:sz="4" w:space="0" w:color="00000A"/>
              <w:bottom w:val="single" w:sz="8" w:space="0" w:color="000001"/>
              <w:right w:val="single" w:sz="4" w:space="0" w:color="00000A"/>
            </w:tcBorders>
            <w:shd w:val="clear" w:color="auto" w:fill="auto"/>
            <w:tcMar>
              <w:left w:w="65" w:type="dxa"/>
            </w:tcMar>
            <w:vAlign w:val="center"/>
          </w:tcPr>
          <w:p w14:paraId="61729B06" w14:textId="77777777" w:rsidR="00B95378" w:rsidRPr="00AB7CC7" w:rsidRDefault="00B95378" w:rsidP="00DC5626">
            <w:pPr>
              <w:widowControl/>
              <w:suppressAutoHyphens w:val="0"/>
              <w:spacing w:after="0" w:line="240" w:lineRule="auto"/>
              <w:ind w:firstLine="0"/>
              <w:jc w:val="left"/>
              <w:rPr>
                <w:rFonts w:ascii="Calibri" w:hAnsi="Calibri" w:cs="Arial CE"/>
                <w:b/>
                <w:bCs/>
                <w:color w:val="000000"/>
                <w:sz w:val="20"/>
                <w:lang w:eastAsia="cs-CZ"/>
              </w:rPr>
            </w:pPr>
          </w:p>
        </w:tc>
        <w:tc>
          <w:tcPr>
            <w:tcW w:w="920" w:type="dxa"/>
            <w:vMerge/>
            <w:tcBorders>
              <w:top w:val="single" w:sz="8" w:space="0" w:color="00000A"/>
              <w:left w:val="single" w:sz="4" w:space="0" w:color="00000A"/>
              <w:bottom w:val="single" w:sz="8" w:space="0" w:color="000001"/>
              <w:right w:val="single" w:sz="4" w:space="0" w:color="00000A"/>
            </w:tcBorders>
            <w:shd w:val="clear" w:color="auto" w:fill="auto"/>
            <w:tcMar>
              <w:left w:w="65" w:type="dxa"/>
            </w:tcMar>
            <w:vAlign w:val="center"/>
          </w:tcPr>
          <w:p w14:paraId="04B21B50" w14:textId="77777777" w:rsidR="00B95378" w:rsidRPr="00AB7CC7" w:rsidRDefault="00B95378" w:rsidP="00DC5626">
            <w:pPr>
              <w:widowControl/>
              <w:suppressAutoHyphens w:val="0"/>
              <w:spacing w:after="0" w:line="240" w:lineRule="auto"/>
              <w:ind w:firstLine="0"/>
              <w:jc w:val="left"/>
              <w:rPr>
                <w:rFonts w:ascii="Calibri" w:hAnsi="Calibri" w:cs="Arial CE"/>
                <w:b/>
                <w:bCs/>
                <w:color w:val="000000"/>
                <w:sz w:val="20"/>
                <w:lang w:eastAsia="cs-CZ"/>
              </w:rPr>
            </w:pPr>
          </w:p>
        </w:tc>
        <w:tc>
          <w:tcPr>
            <w:tcW w:w="920" w:type="dxa"/>
            <w:vMerge/>
            <w:tcBorders>
              <w:top w:val="single" w:sz="8" w:space="0" w:color="00000A"/>
              <w:left w:val="single" w:sz="4" w:space="0" w:color="00000A"/>
              <w:bottom w:val="single" w:sz="8" w:space="0" w:color="000001"/>
              <w:right w:val="single" w:sz="4" w:space="0" w:color="00000A"/>
            </w:tcBorders>
            <w:shd w:val="clear" w:color="auto" w:fill="auto"/>
            <w:tcMar>
              <w:left w:w="65" w:type="dxa"/>
            </w:tcMar>
            <w:vAlign w:val="center"/>
          </w:tcPr>
          <w:p w14:paraId="3FCE6F47" w14:textId="77777777" w:rsidR="00B95378" w:rsidRPr="00AB7CC7" w:rsidRDefault="00B95378" w:rsidP="00DC5626">
            <w:pPr>
              <w:widowControl/>
              <w:suppressAutoHyphens w:val="0"/>
              <w:spacing w:after="0" w:line="240" w:lineRule="auto"/>
              <w:ind w:firstLine="0"/>
              <w:jc w:val="left"/>
              <w:rPr>
                <w:rFonts w:ascii="Calibri" w:hAnsi="Calibri" w:cs="Arial CE"/>
                <w:b/>
                <w:bCs/>
                <w:color w:val="000000"/>
                <w:sz w:val="20"/>
                <w:lang w:eastAsia="cs-CZ"/>
              </w:rPr>
            </w:pPr>
          </w:p>
        </w:tc>
        <w:tc>
          <w:tcPr>
            <w:tcW w:w="1419" w:type="dxa"/>
            <w:vMerge/>
            <w:tcBorders>
              <w:top w:val="single" w:sz="8" w:space="0" w:color="00000A"/>
              <w:left w:val="single" w:sz="4" w:space="0" w:color="00000A"/>
              <w:bottom w:val="single" w:sz="8" w:space="0" w:color="000001"/>
              <w:right w:val="single" w:sz="8" w:space="0" w:color="00000A"/>
            </w:tcBorders>
            <w:shd w:val="clear" w:color="auto" w:fill="auto"/>
            <w:tcMar>
              <w:left w:w="65" w:type="dxa"/>
            </w:tcMar>
            <w:vAlign w:val="center"/>
          </w:tcPr>
          <w:p w14:paraId="6D8FDEDE" w14:textId="77777777" w:rsidR="00B95378" w:rsidRPr="00AB7CC7" w:rsidRDefault="00B95378" w:rsidP="00DC5626">
            <w:pPr>
              <w:widowControl/>
              <w:suppressAutoHyphens w:val="0"/>
              <w:spacing w:after="0" w:line="240" w:lineRule="auto"/>
              <w:ind w:firstLine="0"/>
              <w:jc w:val="left"/>
              <w:rPr>
                <w:rFonts w:ascii="Calibri" w:hAnsi="Calibri" w:cs="Arial CE"/>
                <w:b/>
                <w:bCs/>
                <w:color w:val="000000"/>
                <w:sz w:val="20"/>
                <w:lang w:eastAsia="cs-CZ"/>
              </w:rPr>
            </w:pPr>
          </w:p>
        </w:tc>
      </w:tr>
      <w:tr w:rsidR="00B95378" w:rsidRPr="00AB7CC7" w14:paraId="68CA37E4" w14:textId="77777777" w:rsidTr="00DC5626">
        <w:trPr>
          <w:trHeight w:val="300"/>
        </w:trPr>
        <w:tc>
          <w:tcPr>
            <w:tcW w:w="2381" w:type="dxa"/>
            <w:tcBorders>
              <w:left w:val="single" w:sz="8" w:space="0" w:color="00000A"/>
              <w:bottom w:val="single" w:sz="4" w:space="0" w:color="00000A"/>
              <w:right w:val="single" w:sz="4" w:space="0" w:color="00000A"/>
            </w:tcBorders>
            <w:shd w:val="clear" w:color="auto" w:fill="auto"/>
            <w:tcMar>
              <w:left w:w="60" w:type="dxa"/>
            </w:tcMar>
            <w:vAlign w:val="center"/>
          </w:tcPr>
          <w:p w14:paraId="33E78D4C" w14:textId="77777777" w:rsidR="00B95378" w:rsidRPr="00AB7CC7" w:rsidRDefault="00B95378" w:rsidP="00DC5626">
            <w:pPr>
              <w:widowControl/>
              <w:suppressAutoHyphens w:val="0"/>
              <w:spacing w:after="0" w:line="240" w:lineRule="auto"/>
              <w:ind w:firstLine="200"/>
              <w:jc w:val="left"/>
              <w:rPr>
                <w:rFonts w:ascii="Calibri" w:hAnsi="Calibri" w:cs="Arial CE"/>
                <w:sz w:val="20"/>
                <w:lang w:eastAsia="cs-CZ"/>
              </w:rPr>
            </w:pPr>
            <w:r w:rsidRPr="00AB7CC7">
              <w:rPr>
                <w:rFonts w:cs="Arial CE"/>
                <w:sz w:val="20"/>
                <w:lang w:eastAsia="cs-CZ"/>
              </w:rPr>
              <w:t>16 x 2,7</w:t>
            </w:r>
          </w:p>
        </w:tc>
        <w:tc>
          <w:tcPr>
            <w:tcW w:w="920" w:type="dxa"/>
            <w:tcBorders>
              <w:bottom w:val="single" w:sz="4" w:space="0" w:color="00000A"/>
              <w:right w:val="single" w:sz="4" w:space="0" w:color="00000A"/>
            </w:tcBorders>
            <w:shd w:val="clear" w:color="auto" w:fill="auto"/>
            <w:vAlign w:val="center"/>
          </w:tcPr>
          <w:p w14:paraId="5524654A"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16,0</w:t>
            </w:r>
          </w:p>
        </w:tc>
        <w:tc>
          <w:tcPr>
            <w:tcW w:w="920" w:type="dxa"/>
            <w:tcBorders>
              <w:bottom w:val="single" w:sz="4" w:space="0" w:color="00000A"/>
              <w:right w:val="single" w:sz="4" w:space="0" w:color="00000A"/>
            </w:tcBorders>
            <w:shd w:val="clear" w:color="auto" w:fill="auto"/>
            <w:vAlign w:val="center"/>
          </w:tcPr>
          <w:p w14:paraId="704EA910"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10,6</w:t>
            </w:r>
          </w:p>
        </w:tc>
        <w:tc>
          <w:tcPr>
            <w:tcW w:w="920" w:type="dxa"/>
            <w:tcBorders>
              <w:bottom w:val="single" w:sz="4" w:space="0" w:color="00000A"/>
              <w:right w:val="single" w:sz="4" w:space="0" w:color="00000A"/>
            </w:tcBorders>
            <w:shd w:val="clear" w:color="auto" w:fill="auto"/>
            <w:vAlign w:val="center"/>
          </w:tcPr>
          <w:p w14:paraId="14B8BB35"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2,7</w:t>
            </w:r>
          </w:p>
        </w:tc>
        <w:tc>
          <w:tcPr>
            <w:tcW w:w="920" w:type="dxa"/>
            <w:tcBorders>
              <w:bottom w:val="single" w:sz="4" w:space="0" w:color="00000A"/>
              <w:right w:val="single" w:sz="4" w:space="0" w:color="00000A"/>
            </w:tcBorders>
            <w:shd w:val="clear" w:color="auto" w:fill="auto"/>
            <w:vAlign w:val="center"/>
          </w:tcPr>
          <w:p w14:paraId="0DF2A56B"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20 mm</w:t>
            </w:r>
          </w:p>
        </w:tc>
        <w:tc>
          <w:tcPr>
            <w:tcW w:w="1419" w:type="dxa"/>
            <w:tcBorders>
              <w:bottom w:val="single" w:sz="4" w:space="0" w:color="00000A"/>
              <w:right w:val="single" w:sz="8" w:space="0" w:color="00000A"/>
            </w:tcBorders>
            <w:shd w:val="clear" w:color="auto" w:fill="auto"/>
            <w:vAlign w:val="center"/>
          </w:tcPr>
          <w:p w14:paraId="30C0A016"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max 0,5 m</w:t>
            </w:r>
          </w:p>
        </w:tc>
      </w:tr>
      <w:tr w:rsidR="00B95378" w:rsidRPr="00AB7CC7" w14:paraId="5C30FF2E" w14:textId="77777777" w:rsidTr="00DC5626">
        <w:trPr>
          <w:trHeight w:val="300"/>
        </w:trPr>
        <w:tc>
          <w:tcPr>
            <w:tcW w:w="2381" w:type="dxa"/>
            <w:tcBorders>
              <w:left w:val="single" w:sz="8" w:space="0" w:color="00000A"/>
              <w:bottom w:val="single" w:sz="4" w:space="0" w:color="00000A"/>
              <w:right w:val="single" w:sz="4" w:space="0" w:color="00000A"/>
            </w:tcBorders>
            <w:shd w:val="clear" w:color="auto" w:fill="auto"/>
            <w:tcMar>
              <w:left w:w="60" w:type="dxa"/>
            </w:tcMar>
            <w:vAlign w:val="center"/>
          </w:tcPr>
          <w:p w14:paraId="30CF261B" w14:textId="77777777" w:rsidR="00B95378" w:rsidRPr="00AB7CC7" w:rsidRDefault="00B95378" w:rsidP="00DC5626">
            <w:pPr>
              <w:widowControl/>
              <w:suppressAutoHyphens w:val="0"/>
              <w:spacing w:after="0" w:line="240" w:lineRule="auto"/>
              <w:ind w:firstLine="200"/>
              <w:jc w:val="left"/>
              <w:rPr>
                <w:rFonts w:ascii="Calibri" w:hAnsi="Calibri" w:cs="Arial CE"/>
                <w:sz w:val="20"/>
                <w:lang w:eastAsia="cs-CZ"/>
              </w:rPr>
            </w:pPr>
            <w:r w:rsidRPr="00AB7CC7">
              <w:rPr>
                <w:rFonts w:cs="Arial CE"/>
                <w:sz w:val="20"/>
                <w:lang w:eastAsia="cs-CZ"/>
              </w:rPr>
              <w:t>20 x 3,4</w:t>
            </w:r>
          </w:p>
        </w:tc>
        <w:tc>
          <w:tcPr>
            <w:tcW w:w="920" w:type="dxa"/>
            <w:tcBorders>
              <w:bottom w:val="single" w:sz="4" w:space="0" w:color="00000A"/>
              <w:right w:val="single" w:sz="4" w:space="0" w:color="00000A"/>
            </w:tcBorders>
            <w:shd w:val="clear" w:color="auto" w:fill="auto"/>
            <w:vAlign w:val="center"/>
          </w:tcPr>
          <w:p w14:paraId="15F5B274"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20,0</w:t>
            </w:r>
          </w:p>
        </w:tc>
        <w:tc>
          <w:tcPr>
            <w:tcW w:w="920" w:type="dxa"/>
            <w:tcBorders>
              <w:bottom w:val="single" w:sz="4" w:space="0" w:color="00000A"/>
              <w:right w:val="single" w:sz="4" w:space="0" w:color="00000A"/>
            </w:tcBorders>
            <w:shd w:val="clear" w:color="auto" w:fill="auto"/>
            <w:vAlign w:val="center"/>
          </w:tcPr>
          <w:p w14:paraId="0DCBBB0D"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13,2</w:t>
            </w:r>
          </w:p>
        </w:tc>
        <w:tc>
          <w:tcPr>
            <w:tcW w:w="920" w:type="dxa"/>
            <w:tcBorders>
              <w:bottom w:val="single" w:sz="4" w:space="0" w:color="00000A"/>
              <w:right w:val="single" w:sz="4" w:space="0" w:color="00000A"/>
            </w:tcBorders>
            <w:shd w:val="clear" w:color="auto" w:fill="auto"/>
            <w:vAlign w:val="center"/>
          </w:tcPr>
          <w:p w14:paraId="5BD389F5"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3,4</w:t>
            </w:r>
          </w:p>
        </w:tc>
        <w:tc>
          <w:tcPr>
            <w:tcW w:w="920" w:type="dxa"/>
            <w:tcBorders>
              <w:bottom w:val="single" w:sz="4" w:space="0" w:color="00000A"/>
              <w:right w:val="single" w:sz="4" w:space="0" w:color="00000A"/>
            </w:tcBorders>
            <w:shd w:val="clear" w:color="auto" w:fill="auto"/>
            <w:vAlign w:val="center"/>
          </w:tcPr>
          <w:p w14:paraId="5D606A99"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20 mm</w:t>
            </w:r>
          </w:p>
        </w:tc>
        <w:tc>
          <w:tcPr>
            <w:tcW w:w="1419" w:type="dxa"/>
            <w:tcBorders>
              <w:bottom w:val="single" w:sz="4" w:space="0" w:color="00000A"/>
              <w:right w:val="single" w:sz="8" w:space="0" w:color="00000A"/>
            </w:tcBorders>
            <w:shd w:val="clear" w:color="auto" w:fill="auto"/>
            <w:vAlign w:val="center"/>
          </w:tcPr>
          <w:p w14:paraId="56E64D51"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max 0,5 m</w:t>
            </w:r>
          </w:p>
        </w:tc>
      </w:tr>
      <w:tr w:rsidR="00B95378" w:rsidRPr="00AB7CC7" w14:paraId="703F9EC7" w14:textId="77777777" w:rsidTr="00DC5626">
        <w:trPr>
          <w:trHeight w:val="300"/>
        </w:trPr>
        <w:tc>
          <w:tcPr>
            <w:tcW w:w="2381" w:type="dxa"/>
            <w:tcBorders>
              <w:left w:val="single" w:sz="8" w:space="0" w:color="00000A"/>
              <w:bottom w:val="single" w:sz="4" w:space="0" w:color="00000A"/>
              <w:right w:val="single" w:sz="4" w:space="0" w:color="00000A"/>
            </w:tcBorders>
            <w:shd w:val="clear" w:color="auto" w:fill="auto"/>
            <w:tcMar>
              <w:left w:w="60" w:type="dxa"/>
            </w:tcMar>
            <w:vAlign w:val="center"/>
          </w:tcPr>
          <w:p w14:paraId="5EBA70FC" w14:textId="77777777" w:rsidR="00B95378" w:rsidRPr="00AB7CC7" w:rsidRDefault="00B95378" w:rsidP="00DC5626">
            <w:pPr>
              <w:widowControl/>
              <w:suppressAutoHyphens w:val="0"/>
              <w:spacing w:after="0" w:line="240" w:lineRule="auto"/>
              <w:ind w:firstLine="200"/>
              <w:jc w:val="left"/>
              <w:rPr>
                <w:rFonts w:ascii="Calibri" w:hAnsi="Calibri" w:cs="Arial CE"/>
                <w:sz w:val="20"/>
                <w:lang w:eastAsia="cs-CZ"/>
              </w:rPr>
            </w:pPr>
            <w:r w:rsidRPr="00AB7CC7">
              <w:rPr>
                <w:rFonts w:cs="Arial CE"/>
                <w:sz w:val="20"/>
                <w:lang w:eastAsia="cs-CZ"/>
              </w:rPr>
              <w:t>25 x 4,2</w:t>
            </w:r>
          </w:p>
        </w:tc>
        <w:tc>
          <w:tcPr>
            <w:tcW w:w="920" w:type="dxa"/>
            <w:tcBorders>
              <w:bottom w:val="single" w:sz="4" w:space="0" w:color="00000A"/>
              <w:right w:val="single" w:sz="4" w:space="0" w:color="00000A"/>
            </w:tcBorders>
            <w:shd w:val="clear" w:color="auto" w:fill="auto"/>
            <w:vAlign w:val="center"/>
          </w:tcPr>
          <w:p w14:paraId="318D5541"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25,0</w:t>
            </w:r>
          </w:p>
        </w:tc>
        <w:tc>
          <w:tcPr>
            <w:tcW w:w="920" w:type="dxa"/>
            <w:tcBorders>
              <w:bottom w:val="single" w:sz="4" w:space="0" w:color="00000A"/>
              <w:right w:val="single" w:sz="4" w:space="0" w:color="00000A"/>
            </w:tcBorders>
            <w:shd w:val="clear" w:color="auto" w:fill="auto"/>
            <w:vAlign w:val="center"/>
          </w:tcPr>
          <w:p w14:paraId="160C730F"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16,6</w:t>
            </w:r>
          </w:p>
        </w:tc>
        <w:tc>
          <w:tcPr>
            <w:tcW w:w="920" w:type="dxa"/>
            <w:tcBorders>
              <w:bottom w:val="single" w:sz="4" w:space="0" w:color="00000A"/>
              <w:right w:val="single" w:sz="4" w:space="0" w:color="00000A"/>
            </w:tcBorders>
            <w:shd w:val="clear" w:color="auto" w:fill="auto"/>
            <w:vAlign w:val="center"/>
          </w:tcPr>
          <w:p w14:paraId="76A6D51F"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4,2</w:t>
            </w:r>
          </w:p>
        </w:tc>
        <w:tc>
          <w:tcPr>
            <w:tcW w:w="920" w:type="dxa"/>
            <w:tcBorders>
              <w:bottom w:val="single" w:sz="4" w:space="0" w:color="00000A"/>
              <w:right w:val="single" w:sz="4" w:space="0" w:color="00000A"/>
            </w:tcBorders>
            <w:shd w:val="clear" w:color="auto" w:fill="auto"/>
            <w:vAlign w:val="center"/>
          </w:tcPr>
          <w:p w14:paraId="794AFBD2"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20 mm</w:t>
            </w:r>
          </w:p>
        </w:tc>
        <w:tc>
          <w:tcPr>
            <w:tcW w:w="1419" w:type="dxa"/>
            <w:tcBorders>
              <w:bottom w:val="single" w:sz="4" w:space="0" w:color="00000A"/>
              <w:right w:val="single" w:sz="8" w:space="0" w:color="00000A"/>
            </w:tcBorders>
            <w:shd w:val="clear" w:color="auto" w:fill="auto"/>
            <w:vAlign w:val="center"/>
          </w:tcPr>
          <w:p w14:paraId="4CABA757"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max 0,5 m</w:t>
            </w:r>
          </w:p>
        </w:tc>
      </w:tr>
      <w:tr w:rsidR="00B95378" w:rsidRPr="00AB7CC7" w14:paraId="12754BFF" w14:textId="77777777" w:rsidTr="00DC5626">
        <w:trPr>
          <w:trHeight w:val="300"/>
        </w:trPr>
        <w:tc>
          <w:tcPr>
            <w:tcW w:w="2381" w:type="dxa"/>
            <w:tcBorders>
              <w:left w:val="single" w:sz="8" w:space="0" w:color="00000A"/>
              <w:bottom w:val="single" w:sz="4" w:space="0" w:color="00000A"/>
              <w:right w:val="single" w:sz="4" w:space="0" w:color="00000A"/>
            </w:tcBorders>
            <w:shd w:val="clear" w:color="auto" w:fill="auto"/>
            <w:tcMar>
              <w:left w:w="60" w:type="dxa"/>
            </w:tcMar>
            <w:vAlign w:val="center"/>
          </w:tcPr>
          <w:p w14:paraId="53BB20E4" w14:textId="77777777" w:rsidR="00B95378" w:rsidRPr="00AB7CC7" w:rsidRDefault="00B95378" w:rsidP="00DC5626">
            <w:pPr>
              <w:widowControl/>
              <w:suppressAutoHyphens w:val="0"/>
              <w:spacing w:after="0" w:line="240" w:lineRule="auto"/>
              <w:ind w:firstLine="200"/>
              <w:jc w:val="left"/>
              <w:rPr>
                <w:rFonts w:ascii="Calibri" w:hAnsi="Calibri" w:cs="Arial CE"/>
                <w:sz w:val="20"/>
                <w:lang w:eastAsia="cs-CZ"/>
              </w:rPr>
            </w:pPr>
            <w:r w:rsidRPr="00AB7CC7">
              <w:rPr>
                <w:rFonts w:cs="Arial CE"/>
                <w:sz w:val="20"/>
                <w:lang w:eastAsia="cs-CZ"/>
              </w:rPr>
              <w:t>32 x 5,4</w:t>
            </w:r>
          </w:p>
        </w:tc>
        <w:tc>
          <w:tcPr>
            <w:tcW w:w="920" w:type="dxa"/>
            <w:tcBorders>
              <w:bottom w:val="single" w:sz="4" w:space="0" w:color="00000A"/>
              <w:right w:val="single" w:sz="4" w:space="0" w:color="00000A"/>
            </w:tcBorders>
            <w:shd w:val="clear" w:color="auto" w:fill="auto"/>
            <w:vAlign w:val="center"/>
          </w:tcPr>
          <w:p w14:paraId="4CE9BA8C"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32,0</w:t>
            </w:r>
          </w:p>
        </w:tc>
        <w:tc>
          <w:tcPr>
            <w:tcW w:w="920" w:type="dxa"/>
            <w:tcBorders>
              <w:bottom w:val="single" w:sz="4" w:space="0" w:color="00000A"/>
              <w:right w:val="single" w:sz="4" w:space="0" w:color="00000A"/>
            </w:tcBorders>
            <w:shd w:val="clear" w:color="auto" w:fill="auto"/>
            <w:vAlign w:val="center"/>
          </w:tcPr>
          <w:p w14:paraId="3DA66008"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21,2</w:t>
            </w:r>
          </w:p>
        </w:tc>
        <w:tc>
          <w:tcPr>
            <w:tcW w:w="920" w:type="dxa"/>
            <w:tcBorders>
              <w:bottom w:val="single" w:sz="4" w:space="0" w:color="00000A"/>
              <w:right w:val="single" w:sz="4" w:space="0" w:color="00000A"/>
            </w:tcBorders>
            <w:shd w:val="clear" w:color="auto" w:fill="auto"/>
            <w:vAlign w:val="center"/>
          </w:tcPr>
          <w:p w14:paraId="32BEDE36"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5,4</w:t>
            </w:r>
          </w:p>
        </w:tc>
        <w:tc>
          <w:tcPr>
            <w:tcW w:w="920" w:type="dxa"/>
            <w:tcBorders>
              <w:bottom w:val="single" w:sz="4" w:space="0" w:color="00000A"/>
              <w:right w:val="single" w:sz="4" w:space="0" w:color="00000A"/>
            </w:tcBorders>
            <w:shd w:val="clear" w:color="auto" w:fill="auto"/>
            <w:vAlign w:val="center"/>
          </w:tcPr>
          <w:p w14:paraId="5F5F8625"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20 mm</w:t>
            </w:r>
          </w:p>
        </w:tc>
        <w:tc>
          <w:tcPr>
            <w:tcW w:w="1419" w:type="dxa"/>
            <w:tcBorders>
              <w:bottom w:val="single" w:sz="4" w:space="0" w:color="00000A"/>
              <w:right w:val="single" w:sz="8" w:space="0" w:color="00000A"/>
            </w:tcBorders>
            <w:shd w:val="clear" w:color="auto" w:fill="auto"/>
            <w:vAlign w:val="center"/>
          </w:tcPr>
          <w:p w14:paraId="6EAA330C"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max 0,5 m</w:t>
            </w:r>
          </w:p>
        </w:tc>
      </w:tr>
      <w:tr w:rsidR="00B95378" w:rsidRPr="00AB7CC7" w14:paraId="4353BF72" w14:textId="77777777" w:rsidTr="00DC5626">
        <w:trPr>
          <w:trHeight w:val="300"/>
        </w:trPr>
        <w:tc>
          <w:tcPr>
            <w:tcW w:w="2381" w:type="dxa"/>
            <w:tcBorders>
              <w:left w:val="single" w:sz="8" w:space="0" w:color="00000A"/>
              <w:bottom w:val="single" w:sz="4" w:space="0" w:color="00000A"/>
              <w:right w:val="single" w:sz="4" w:space="0" w:color="00000A"/>
            </w:tcBorders>
            <w:shd w:val="clear" w:color="auto" w:fill="auto"/>
            <w:tcMar>
              <w:left w:w="60" w:type="dxa"/>
            </w:tcMar>
            <w:vAlign w:val="center"/>
          </w:tcPr>
          <w:p w14:paraId="38F13A32" w14:textId="77777777" w:rsidR="00B95378" w:rsidRPr="00AB7CC7" w:rsidRDefault="00B95378" w:rsidP="00DC5626">
            <w:pPr>
              <w:widowControl/>
              <w:suppressAutoHyphens w:val="0"/>
              <w:spacing w:after="0" w:line="240" w:lineRule="auto"/>
              <w:ind w:firstLine="200"/>
              <w:jc w:val="left"/>
              <w:rPr>
                <w:rFonts w:ascii="Calibri" w:hAnsi="Calibri" w:cs="Arial CE"/>
                <w:sz w:val="20"/>
                <w:lang w:eastAsia="cs-CZ"/>
              </w:rPr>
            </w:pPr>
            <w:r w:rsidRPr="00AB7CC7">
              <w:rPr>
                <w:rFonts w:cs="Arial CE"/>
                <w:sz w:val="20"/>
                <w:lang w:eastAsia="cs-CZ"/>
              </w:rPr>
              <w:t>40 x 6,7</w:t>
            </w:r>
          </w:p>
        </w:tc>
        <w:tc>
          <w:tcPr>
            <w:tcW w:w="920" w:type="dxa"/>
            <w:tcBorders>
              <w:bottom w:val="single" w:sz="4" w:space="0" w:color="00000A"/>
              <w:right w:val="single" w:sz="4" w:space="0" w:color="00000A"/>
            </w:tcBorders>
            <w:shd w:val="clear" w:color="auto" w:fill="auto"/>
            <w:vAlign w:val="center"/>
          </w:tcPr>
          <w:p w14:paraId="195271B9"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40,0</w:t>
            </w:r>
          </w:p>
        </w:tc>
        <w:tc>
          <w:tcPr>
            <w:tcW w:w="920" w:type="dxa"/>
            <w:tcBorders>
              <w:bottom w:val="single" w:sz="4" w:space="0" w:color="00000A"/>
              <w:right w:val="single" w:sz="4" w:space="0" w:color="00000A"/>
            </w:tcBorders>
            <w:shd w:val="clear" w:color="auto" w:fill="auto"/>
            <w:vAlign w:val="center"/>
          </w:tcPr>
          <w:p w14:paraId="0AE18CB8"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26,6</w:t>
            </w:r>
          </w:p>
        </w:tc>
        <w:tc>
          <w:tcPr>
            <w:tcW w:w="920" w:type="dxa"/>
            <w:tcBorders>
              <w:bottom w:val="single" w:sz="4" w:space="0" w:color="00000A"/>
              <w:right w:val="single" w:sz="4" w:space="0" w:color="00000A"/>
            </w:tcBorders>
            <w:shd w:val="clear" w:color="auto" w:fill="auto"/>
            <w:vAlign w:val="center"/>
          </w:tcPr>
          <w:p w14:paraId="09E01F67"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6,7</w:t>
            </w:r>
          </w:p>
        </w:tc>
        <w:tc>
          <w:tcPr>
            <w:tcW w:w="920" w:type="dxa"/>
            <w:tcBorders>
              <w:bottom w:val="single" w:sz="4" w:space="0" w:color="00000A"/>
              <w:right w:val="single" w:sz="4" w:space="0" w:color="00000A"/>
            </w:tcBorders>
            <w:shd w:val="clear" w:color="auto" w:fill="auto"/>
            <w:vAlign w:val="center"/>
          </w:tcPr>
          <w:p w14:paraId="76215A80"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20 mm</w:t>
            </w:r>
          </w:p>
        </w:tc>
        <w:tc>
          <w:tcPr>
            <w:tcW w:w="1419" w:type="dxa"/>
            <w:tcBorders>
              <w:bottom w:val="single" w:sz="4" w:space="0" w:color="00000A"/>
              <w:right w:val="single" w:sz="8" w:space="0" w:color="00000A"/>
            </w:tcBorders>
            <w:shd w:val="clear" w:color="auto" w:fill="auto"/>
            <w:vAlign w:val="center"/>
          </w:tcPr>
          <w:p w14:paraId="7899E785"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max 1,0 m</w:t>
            </w:r>
          </w:p>
        </w:tc>
      </w:tr>
      <w:tr w:rsidR="00B95378" w:rsidRPr="00AB7CC7" w14:paraId="4E786DF8" w14:textId="77777777" w:rsidTr="00DC5626">
        <w:trPr>
          <w:trHeight w:val="300"/>
        </w:trPr>
        <w:tc>
          <w:tcPr>
            <w:tcW w:w="2381" w:type="dxa"/>
            <w:tcBorders>
              <w:left w:val="single" w:sz="8" w:space="0" w:color="00000A"/>
              <w:bottom w:val="single" w:sz="4" w:space="0" w:color="00000A"/>
              <w:right w:val="single" w:sz="4" w:space="0" w:color="00000A"/>
            </w:tcBorders>
            <w:shd w:val="clear" w:color="auto" w:fill="auto"/>
            <w:tcMar>
              <w:left w:w="60" w:type="dxa"/>
            </w:tcMar>
            <w:vAlign w:val="center"/>
          </w:tcPr>
          <w:p w14:paraId="7EE44211" w14:textId="77777777" w:rsidR="00B95378" w:rsidRPr="00AB7CC7" w:rsidRDefault="00B95378" w:rsidP="00DC5626">
            <w:pPr>
              <w:widowControl/>
              <w:suppressAutoHyphens w:val="0"/>
              <w:spacing w:after="0" w:line="240" w:lineRule="auto"/>
              <w:ind w:firstLine="200"/>
              <w:jc w:val="left"/>
              <w:rPr>
                <w:rFonts w:ascii="Calibri" w:hAnsi="Calibri" w:cs="Arial CE"/>
                <w:sz w:val="20"/>
                <w:lang w:eastAsia="cs-CZ"/>
              </w:rPr>
            </w:pPr>
            <w:r w:rsidRPr="00AB7CC7">
              <w:rPr>
                <w:rFonts w:cs="Arial CE"/>
                <w:sz w:val="20"/>
                <w:lang w:eastAsia="cs-CZ"/>
              </w:rPr>
              <w:t>50 x 8,3</w:t>
            </w:r>
          </w:p>
        </w:tc>
        <w:tc>
          <w:tcPr>
            <w:tcW w:w="920" w:type="dxa"/>
            <w:tcBorders>
              <w:bottom w:val="single" w:sz="4" w:space="0" w:color="00000A"/>
              <w:right w:val="single" w:sz="4" w:space="0" w:color="00000A"/>
            </w:tcBorders>
            <w:shd w:val="clear" w:color="auto" w:fill="auto"/>
            <w:vAlign w:val="center"/>
          </w:tcPr>
          <w:p w14:paraId="15C77539"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50,0</w:t>
            </w:r>
          </w:p>
        </w:tc>
        <w:tc>
          <w:tcPr>
            <w:tcW w:w="920" w:type="dxa"/>
            <w:tcBorders>
              <w:bottom w:val="single" w:sz="4" w:space="0" w:color="00000A"/>
              <w:right w:val="single" w:sz="4" w:space="0" w:color="00000A"/>
            </w:tcBorders>
            <w:shd w:val="clear" w:color="auto" w:fill="auto"/>
            <w:vAlign w:val="center"/>
          </w:tcPr>
          <w:p w14:paraId="1FE8C6AE"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33,4</w:t>
            </w:r>
          </w:p>
        </w:tc>
        <w:tc>
          <w:tcPr>
            <w:tcW w:w="920" w:type="dxa"/>
            <w:tcBorders>
              <w:bottom w:val="single" w:sz="4" w:space="0" w:color="00000A"/>
              <w:right w:val="single" w:sz="4" w:space="0" w:color="00000A"/>
            </w:tcBorders>
            <w:shd w:val="clear" w:color="auto" w:fill="auto"/>
            <w:vAlign w:val="center"/>
          </w:tcPr>
          <w:p w14:paraId="401AB2D0"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8,3</w:t>
            </w:r>
          </w:p>
        </w:tc>
        <w:tc>
          <w:tcPr>
            <w:tcW w:w="920" w:type="dxa"/>
            <w:tcBorders>
              <w:bottom w:val="single" w:sz="4" w:space="0" w:color="00000A"/>
              <w:right w:val="single" w:sz="4" w:space="0" w:color="00000A"/>
            </w:tcBorders>
            <w:shd w:val="clear" w:color="auto" w:fill="auto"/>
            <w:vAlign w:val="center"/>
          </w:tcPr>
          <w:p w14:paraId="5B4AB8D7"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20 mm</w:t>
            </w:r>
          </w:p>
        </w:tc>
        <w:tc>
          <w:tcPr>
            <w:tcW w:w="1419" w:type="dxa"/>
            <w:tcBorders>
              <w:bottom w:val="single" w:sz="4" w:space="0" w:color="00000A"/>
              <w:right w:val="single" w:sz="8" w:space="0" w:color="00000A"/>
            </w:tcBorders>
            <w:shd w:val="clear" w:color="auto" w:fill="auto"/>
            <w:vAlign w:val="center"/>
          </w:tcPr>
          <w:p w14:paraId="5CA203CB"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max 1,0 m</w:t>
            </w:r>
          </w:p>
        </w:tc>
      </w:tr>
      <w:tr w:rsidR="00B95378" w:rsidRPr="00AB7CC7" w14:paraId="4C379D64" w14:textId="77777777" w:rsidTr="00DC5626">
        <w:trPr>
          <w:trHeight w:val="300"/>
        </w:trPr>
        <w:tc>
          <w:tcPr>
            <w:tcW w:w="2381" w:type="dxa"/>
            <w:tcBorders>
              <w:left w:val="single" w:sz="8" w:space="0" w:color="00000A"/>
              <w:bottom w:val="single" w:sz="4" w:space="0" w:color="00000A"/>
              <w:right w:val="single" w:sz="4" w:space="0" w:color="00000A"/>
            </w:tcBorders>
            <w:shd w:val="clear" w:color="auto" w:fill="auto"/>
            <w:tcMar>
              <w:left w:w="60" w:type="dxa"/>
            </w:tcMar>
            <w:vAlign w:val="center"/>
          </w:tcPr>
          <w:p w14:paraId="7D1F9A28" w14:textId="77777777" w:rsidR="00B95378" w:rsidRPr="00AB7CC7" w:rsidRDefault="00B95378" w:rsidP="00DC5626">
            <w:pPr>
              <w:widowControl/>
              <w:suppressAutoHyphens w:val="0"/>
              <w:spacing w:after="0" w:line="240" w:lineRule="auto"/>
              <w:ind w:firstLine="200"/>
              <w:jc w:val="left"/>
              <w:rPr>
                <w:rFonts w:ascii="Calibri" w:hAnsi="Calibri" w:cs="Arial CE"/>
                <w:sz w:val="20"/>
                <w:lang w:eastAsia="cs-CZ"/>
              </w:rPr>
            </w:pPr>
            <w:r w:rsidRPr="00AB7CC7">
              <w:rPr>
                <w:rFonts w:cs="Arial CE"/>
                <w:sz w:val="20"/>
                <w:lang w:eastAsia="cs-CZ"/>
              </w:rPr>
              <w:t>63 x 10,5</w:t>
            </w:r>
          </w:p>
        </w:tc>
        <w:tc>
          <w:tcPr>
            <w:tcW w:w="920" w:type="dxa"/>
            <w:tcBorders>
              <w:bottom w:val="single" w:sz="4" w:space="0" w:color="00000A"/>
              <w:right w:val="single" w:sz="4" w:space="0" w:color="00000A"/>
            </w:tcBorders>
            <w:shd w:val="clear" w:color="auto" w:fill="auto"/>
            <w:vAlign w:val="center"/>
          </w:tcPr>
          <w:p w14:paraId="4069F348"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63,0</w:t>
            </w:r>
          </w:p>
        </w:tc>
        <w:tc>
          <w:tcPr>
            <w:tcW w:w="920" w:type="dxa"/>
            <w:tcBorders>
              <w:bottom w:val="single" w:sz="4" w:space="0" w:color="00000A"/>
              <w:right w:val="single" w:sz="4" w:space="0" w:color="00000A"/>
            </w:tcBorders>
            <w:shd w:val="clear" w:color="auto" w:fill="auto"/>
            <w:vAlign w:val="center"/>
          </w:tcPr>
          <w:p w14:paraId="3BA6E9A6"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42,0</w:t>
            </w:r>
          </w:p>
        </w:tc>
        <w:tc>
          <w:tcPr>
            <w:tcW w:w="920" w:type="dxa"/>
            <w:tcBorders>
              <w:bottom w:val="single" w:sz="4" w:space="0" w:color="00000A"/>
              <w:right w:val="single" w:sz="4" w:space="0" w:color="00000A"/>
            </w:tcBorders>
            <w:shd w:val="clear" w:color="auto" w:fill="auto"/>
            <w:vAlign w:val="center"/>
          </w:tcPr>
          <w:p w14:paraId="0D5E4CA4"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10,5</w:t>
            </w:r>
          </w:p>
        </w:tc>
        <w:tc>
          <w:tcPr>
            <w:tcW w:w="920" w:type="dxa"/>
            <w:tcBorders>
              <w:bottom w:val="single" w:sz="4" w:space="0" w:color="00000A"/>
              <w:right w:val="single" w:sz="4" w:space="0" w:color="00000A"/>
            </w:tcBorders>
            <w:shd w:val="clear" w:color="auto" w:fill="auto"/>
            <w:vAlign w:val="center"/>
          </w:tcPr>
          <w:p w14:paraId="75AEE00E"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20 mm</w:t>
            </w:r>
          </w:p>
        </w:tc>
        <w:tc>
          <w:tcPr>
            <w:tcW w:w="1419" w:type="dxa"/>
            <w:tcBorders>
              <w:bottom w:val="single" w:sz="4" w:space="0" w:color="00000A"/>
              <w:right w:val="single" w:sz="8" w:space="0" w:color="00000A"/>
            </w:tcBorders>
            <w:shd w:val="clear" w:color="auto" w:fill="auto"/>
            <w:vAlign w:val="center"/>
          </w:tcPr>
          <w:p w14:paraId="50D666EE"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max 1,5 m</w:t>
            </w:r>
          </w:p>
        </w:tc>
      </w:tr>
      <w:tr w:rsidR="00B95378" w:rsidRPr="00AB7CC7" w14:paraId="1DA17C27" w14:textId="77777777" w:rsidTr="00DC5626">
        <w:trPr>
          <w:trHeight w:val="300"/>
        </w:trPr>
        <w:tc>
          <w:tcPr>
            <w:tcW w:w="7480" w:type="dxa"/>
            <w:gridSpan w:val="6"/>
            <w:tcBorders>
              <w:left w:val="single" w:sz="8" w:space="0" w:color="00000A"/>
              <w:bottom w:val="single" w:sz="8" w:space="0" w:color="00000A"/>
              <w:right w:val="single" w:sz="8" w:space="0" w:color="000001"/>
            </w:tcBorders>
            <w:shd w:val="clear" w:color="auto" w:fill="auto"/>
            <w:tcMar>
              <w:left w:w="60" w:type="dxa"/>
            </w:tcMar>
            <w:vAlign w:val="center"/>
          </w:tcPr>
          <w:p w14:paraId="0C9DD282" w14:textId="77777777" w:rsidR="00B95378" w:rsidRPr="00AB7CC7" w:rsidRDefault="00B95378" w:rsidP="00DC5626">
            <w:pPr>
              <w:widowControl/>
              <w:suppressAutoHyphens w:val="0"/>
              <w:spacing w:after="0" w:line="240" w:lineRule="auto"/>
              <w:ind w:firstLine="0"/>
              <w:jc w:val="left"/>
              <w:rPr>
                <w:rFonts w:ascii="Calibri" w:hAnsi="Calibri" w:cs="Arial CE"/>
                <w:sz w:val="20"/>
                <w:lang w:eastAsia="cs-CZ"/>
              </w:rPr>
            </w:pPr>
            <w:r w:rsidRPr="00AB7CC7">
              <w:rPr>
                <w:rFonts w:cs="Arial CE"/>
                <w:sz w:val="20"/>
                <w:lang w:eastAsia="cs-CZ"/>
              </w:rPr>
              <w:t xml:space="preserve">** Maximální doporučená vzdálenost </w:t>
            </w:r>
            <w:proofErr w:type="gramStart"/>
            <w:r w:rsidRPr="00AB7CC7">
              <w:rPr>
                <w:rFonts w:cs="Arial CE"/>
                <w:sz w:val="20"/>
                <w:lang w:eastAsia="cs-CZ"/>
              </w:rPr>
              <w:t>upevnění - technická</w:t>
            </w:r>
            <w:proofErr w:type="gramEnd"/>
            <w:r w:rsidRPr="00AB7CC7">
              <w:rPr>
                <w:rFonts w:cs="Arial CE"/>
                <w:sz w:val="20"/>
                <w:lang w:eastAsia="cs-CZ"/>
              </w:rPr>
              <w:t xml:space="preserve"> dokumentace Koňařík</w:t>
            </w:r>
          </w:p>
        </w:tc>
      </w:tr>
    </w:tbl>
    <w:p w14:paraId="57249D1D" w14:textId="77777777" w:rsidR="00B95378" w:rsidRPr="00AB7CC7" w:rsidRDefault="00B95378" w:rsidP="00B95378"/>
    <w:p w14:paraId="32AC3D2C" w14:textId="6D7C7753" w:rsidR="00B95378" w:rsidRDefault="00B95378" w:rsidP="00B95378">
      <w:r w:rsidRPr="00AB7CC7">
        <w:t>Potrubní rozvody studené vody budou z materiálu PPR, budou opatřeny návlekovou izolací kvůli odstranění rosení potrubí.</w:t>
      </w:r>
    </w:p>
    <w:p w14:paraId="5AFA9A7F" w14:textId="77777777" w:rsidR="006C2E29" w:rsidRPr="00AB7CC7" w:rsidRDefault="006C2E29" w:rsidP="00B95378"/>
    <w:tbl>
      <w:tblPr>
        <w:tblW w:w="7480" w:type="dxa"/>
        <w:tblInd w:w="-110" w:type="dxa"/>
        <w:tblBorders>
          <w:top w:val="single" w:sz="8" w:space="0" w:color="00000A"/>
          <w:left w:val="single" w:sz="8" w:space="0" w:color="00000A"/>
          <w:bottom w:val="single" w:sz="8" w:space="0" w:color="000001"/>
          <w:right w:val="single" w:sz="4" w:space="0" w:color="00000A"/>
          <w:insideH w:val="single" w:sz="8" w:space="0" w:color="000001"/>
          <w:insideV w:val="single" w:sz="4" w:space="0" w:color="00000A"/>
        </w:tblBorders>
        <w:tblCellMar>
          <w:left w:w="60" w:type="dxa"/>
          <w:right w:w="70" w:type="dxa"/>
        </w:tblCellMar>
        <w:tblLook w:val="04A0" w:firstRow="1" w:lastRow="0" w:firstColumn="1" w:lastColumn="0" w:noHBand="0" w:noVBand="1"/>
      </w:tblPr>
      <w:tblGrid>
        <w:gridCol w:w="2381"/>
        <w:gridCol w:w="920"/>
        <w:gridCol w:w="920"/>
        <w:gridCol w:w="920"/>
        <w:gridCol w:w="920"/>
        <w:gridCol w:w="1419"/>
      </w:tblGrid>
      <w:tr w:rsidR="00B95378" w:rsidRPr="00AB7CC7" w14:paraId="41DBE26F" w14:textId="77777777" w:rsidTr="00DC5626">
        <w:trPr>
          <w:trHeight w:val="300"/>
        </w:trPr>
        <w:tc>
          <w:tcPr>
            <w:tcW w:w="2381" w:type="dxa"/>
            <w:vMerge w:val="restart"/>
            <w:tcBorders>
              <w:top w:val="single" w:sz="8" w:space="0" w:color="00000A"/>
              <w:left w:val="single" w:sz="8" w:space="0" w:color="00000A"/>
              <w:bottom w:val="single" w:sz="8" w:space="0" w:color="000001"/>
              <w:right w:val="single" w:sz="4" w:space="0" w:color="00000A"/>
            </w:tcBorders>
            <w:shd w:val="clear" w:color="000000" w:fill="D8D8D8"/>
            <w:tcMar>
              <w:left w:w="60" w:type="dxa"/>
            </w:tcMar>
            <w:vAlign w:val="center"/>
          </w:tcPr>
          <w:p w14:paraId="14B3A072" w14:textId="77777777" w:rsidR="00B95378" w:rsidRPr="00AB7CC7" w:rsidRDefault="00B95378" w:rsidP="00DC5626">
            <w:pPr>
              <w:widowControl/>
              <w:suppressAutoHyphens w:val="0"/>
              <w:spacing w:after="0" w:line="240" w:lineRule="auto"/>
              <w:ind w:firstLine="201"/>
              <w:jc w:val="left"/>
              <w:rPr>
                <w:rFonts w:ascii="Calibri" w:hAnsi="Calibri" w:cs="Arial CE"/>
                <w:b/>
                <w:bCs/>
                <w:sz w:val="20"/>
                <w:lang w:eastAsia="cs-CZ"/>
              </w:rPr>
            </w:pPr>
            <w:r w:rsidRPr="00AB7CC7">
              <w:rPr>
                <w:rFonts w:cs="Arial CE"/>
                <w:b/>
                <w:bCs/>
                <w:sz w:val="20"/>
                <w:lang w:eastAsia="cs-CZ"/>
              </w:rPr>
              <w:lastRenderedPageBreak/>
              <w:t>Trubka PPR PN 20</w:t>
            </w:r>
          </w:p>
        </w:tc>
        <w:tc>
          <w:tcPr>
            <w:tcW w:w="920" w:type="dxa"/>
            <w:vMerge w:val="restart"/>
            <w:tcBorders>
              <w:top w:val="single" w:sz="8" w:space="0" w:color="00000A"/>
              <w:left w:val="single" w:sz="4" w:space="0" w:color="00000A"/>
              <w:bottom w:val="single" w:sz="8" w:space="0" w:color="000001"/>
              <w:right w:val="single" w:sz="4" w:space="0" w:color="00000A"/>
            </w:tcBorders>
            <w:shd w:val="clear" w:color="000000" w:fill="D8D8D8"/>
            <w:tcMar>
              <w:left w:w="65" w:type="dxa"/>
            </w:tcMar>
            <w:vAlign w:val="center"/>
          </w:tcPr>
          <w:p w14:paraId="4A1EF8A0" w14:textId="77777777" w:rsidR="00B95378" w:rsidRPr="00AB7CC7" w:rsidRDefault="00B95378" w:rsidP="00DC5626">
            <w:pPr>
              <w:widowControl/>
              <w:suppressAutoHyphens w:val="0"/>
              <w:spacing w:after="0" w:line="240" w:lineRule="auto"/>
              <w:ind w:firstLine="0"/>
              <w:jc w:val="center"/>
              <w:rPr>
                <w:rFonts w:ascii="Calibri" w:hAnsi="Calibri" w:cs="Arial CE"/>
                <w:b/>
                <w:bCs/>
                <w:color w:val="000000"/>
                <w:sz w:val="20"/>
                <w:lang w:eastAsia="cs-CZ"/>
              </w:rPr>
            </w:pPr>
            <w:r w:rsidRPr="00AB7CC7">
              <w:rPr>
                <w:rFonts w:cs="Arial CE"/>
                <w:b/>
                <w:bCs/>
                <w:color w:val="000000"/>
                <w:sz w:val="20"/>
                <w:lang w:eastAsia="cs-CZ"/>
              </w:rPr>
              <w:t>D</w:t>
            </w:r>
          </w:p>
        </w:tc>
        <w:tc>
          <w:tcPr>
            <w:tcW w:w="920" w:type="dxa"/>
            <w:vMerge w:val="restart"/>
            <w:tcBorders>
              <w:top w:val="single" w:sz="8" w:space="0" w:color="00000A"/>
              <w:left w:val="single" w:sz="4" w:space="0" w:color="00000A"/>
              <w:bottom w:val="single" w:sz="8" w:space="0" w:color="000001"/>
              <w:right w:val="single" w:sz="4" w:space="0" w:color="00000A"/>
            </w:tcBorders>
            <w:shd w:val="clear" w:color="000000" w:fill="D8D8D8"/>
            <w:tcMar>
              <w:left w:w="65" w:type="dxa"/>
            </w:tcMar>
            <w:vAlign w:val="center"/>
          </w:tcPr>
          <w:p w14:paraId="2134E958" w14:textId="77777777" w:rsidR="00B95378" w:rsidRPr="00AB7CC7" w:rsidRDefault="00B95378" w:rsidP="00DC5626">
            <w:pPr>
              <w:widowControl/>
              <w:suppressAutoHyphens w:val="0"/>
              <w:spacing w:after="0" w:line="240" w:lineRule="auto"/>
              <w:ind w:firstLine="0"/>
              <w:jc w:val="center"/>
              <w:rPr>
                <w:rFonts w:ascii="Calibri" w:hAnsi="Calibri" w:cs="Arial CE"/>
                <w:b/>
                <w:bCs/>
                <w:color w:val="000000"/>
                <w:sz w:val="20"/>
                <w:lang w:eastAsia="cs-CZ"/>
              </w:rPr>
            </w:pPr>
            <w:r w:rsidRPr="00AB7CC7">
              <w:rPr>
                <w:rFonts w:cs="Arial CE"/>
                <w:b/>
                <w:bCs/>
                <w:color w:val="000000"/>
                <w:sz w:val="20"/>
                <w:lang w:eastAsia="cs-CZ"/>
              </w:rPr>
              <w:t>d</w:t>
            </w:r>
          </w:p>
        </w:tc>
        <w:tc>
          <w:tcPr>
            <w:tcW w:w="920" w:type="dxa"/>
            <w:vMerge w:val="restart"/>
            <w:tcBorders>
              <w:top w:val="single" w:sz="8" w:space="0" w:color="00000A"/>
              <w:left w:val="single" w:sz="4" w:space="0" w:color="00000A"/>
              <w:bottom w:val="single" w:sz="8" w:space="0" w:color="000001"/>
              <w:right w:val="single" w:sz="4" w:space="0" w:color="00000A"/>
            </w:tcBorders>
            <w:shd w:val="clear" w:color="000000" w:fill="D8D8D8"/>
            <w:tcMar>
              <w:left w:w="65" w:type="dxa"/>
            </w:tcMar>
            <w:vAlign w:val="center"/>
          </w:tcPr>
          <w:p w14:paraId="05E898EF" w14:textId="77777777" w:rsidR="00B95378" w:rsidRPr="00AB7CC7" w:rsidRDefault="00B95378" w:rsidP="00DC5626">
            <w:pPr>
              <w:widowControl/>
              <w:suppressAutoHyphens w:val="0"/>
              <w:spacing w:after="0" w:line="240" w:lineRule="auto"/>
              <w:ind w:firstLine="0"/>
              <w:jc w:val="center"/>
              <w:rPr>
                <w:rFonts w:ascii="Calibri" w:hAnsi="Calibri" w:cs="Arial CE"/>
                <w:b/>
                <w:bCs/>
                <w:color w:val="000000"/>
                <w:sz w:val="20"/>
                <w:lang w:eastAsia="cs-CZ"/>
              </w:rPr>
            </w:pPr>
            <w:r w:rsidRPr="00AB7CC7">
              <w:rPr>
                <w:rFonts w:cs="Arial CE"/>
                <w:b/>
                <w:bCs/>
                <w:color w:val="000000"/>
                <w:sz w:val="20"/>
                <w:lang w:eastAsia="cs-CZ"/>
              </w:rPr>
              <w:t>t</w:t>
            </w:r>
          </w:p>
        </w:tc>
        <w:tc>
          <w:tcPr>
            <w:tcW w:w="920" w:type="dxa"/>
            <w:vMerge w:val="restart"/>
            <w:tcBorders>
              <w:top w:val="single" w:sz="8" w:space="0" w:color="00000A"/>
              <w:left w:val="single" w:sz="4" w:space="0" w:color="00000A"/>
              <w:bottom w:val="single" w:sz="8" w:space="0" w:color="000001"/>
              <w:right w:val="single" w:sz="4" w:space="0" w:color="00000A"/>
            </w:tcBorders>
            <w:shd w:val="clear" w:color="000000" w:fill="D8D8D8"/>
            <w:tcMar>
              <w:left w:w="65" w:type="dxa"/>
            </w:tcMar>
            <w:vAlign w:val="center"/>
          </w:tcPr>
          <w:p w14:paraId="473FB2A2" w14:textId="77777777" w:rsidR="00B95378" w:rsidRPr="00AB7CC7" w:rsidRDefault="00B95378" w:rsidP="00DC5626">
            <w:pPr>
              <w:widowControl/>
              <w:suppressAutoHyphens w:val="0"/>
              <w:spacing w:after="0" w:line="240" w:lineRule="auto"/>
              <w:ind w:firstLine="0"/>
              <w:jc w:val="center"/>
              <w:rPr>
                <w:rFonts w:ascii="Calibri" w:hAnsi="Calibri" w:cs="Arial CE"/>
                <w:b/>
                <w:bCs/>
                <w:color w:val="000000"/>
                <w:sz w:val="20"/>
                <w:lang w:eastAsia="cs-CZ"/>
              </w:rPr>
            </w:pPr>
            <w:r w:rsidRPr="00AB7CC7">
              <w:rPr>
                <w:rFonts w:cs="Arial CE"/>
                <w:b/>
                <w:bCs/>
                <w:color w:val="000000"/>
                <w:sz w:val="20"/>
                <w:lang w:eastAsia="cs-CZ"/>
              </w:rPr>
              <w:t>tloušťka</w:t>
            </w:r>
            <w:r w:rsidRPr="00AB7CC7">
              <w:rPr>
                <w:rFonts w:cs="Arial CE"/>
                <w:b/>
                <w:bCs/>
                <w:color w:val="000000"/>
                <w:sz w:val="20"/>
                <w:lang w:eastAsia="cs-CZ"/>
              </w:rPr>
              <w:br/>
              <w:t>izolace *</w:t>
            </w:r>
          </w:p>
        </w:tc>
        <w:tc>
          <w:tcPr>
            <w:tcW w:w="1419" w:type="dxa"/>
            <w:vMerge w:val="restart"/>
            <w:tcBorders>
              <w:top w:val="single" w:sz="8" w:space="0" w:color="00000A"/>
              <w:left w:val="single" w:sz="4" w:space="0" w:color="00000A"/>
              <w:bottom w:val="single" w:sz="8" w:space="0" w:color="000001"/>
              <w:right w:val="single" w:sz="8" w:space="0" w:color="00000A"/>
            </w:tcBorders>
            <w:shd w:val="clear" w:color="000000" w:fill="D8D8D8"/>
            <w:tcMar>
              <w:left w:w="65" w:type="dxa"/>
            </w:tcMar>
            <w:vAlign w:val="center"/>
          </w:tcPr>
          <w:p w14:paraId="71B4D853" w14:textId="77777777" w:rsidR="00B95378" w:rsidRPr="00AB7CC7" w:rsidRDefault="00B95378" w:rsidP="00DC5626">
            <w:pPr>
              <w:widowControl/>
              <w:suppressAutoHyphens w:val="0"/>
              <w:spacing w:after="0" w:line="240" w:lineRule="auto"/>
              <w:ind w:firstLine="0"/>
              <w:jc w:val="center"/>
              <w:rPr>
                <w:rFonts w:ascii="Calibri" w:hAnsi="Calibri" w:cs="Arial CE"/>
                <w:b/>
                <w:bCs/>
                <w:color w:val="000000"/>
                <w:sz w:val="20"/>
                <w:lang w:eastAsia="cs-CZ"/>
              </w:rPr>
            </w:pPr>
            <w:r w:rsidRPr="00AB7CC7">
              <w:rPr>
                <w:rFonts w:cs="Arial CE"/>
                <w:b/>
                <w:bCs/>
                <w:color w:val="000000"/>
                <w:sz w:val="20"/>
                <w:lang w:eastAsia="cs-CZ"/>
              </w:rPr>
              <w:t>maximální</w:t>
            </w:r>
            <w:r w:rsidRPr="00AB7CC7">
              <w:rPr>
                <w:rFonts w:cs="Arial CE"/>
                <w:b/>
                <w:bCs/>
                <w:color w:val="000000"/>
                <w:sz w:val="20"/>
                <w:lang w:eastAsia="cs-CZ"/>
              </w:rPr>
              <w:br/>
              <w:t>uložení **</w:t>
            </w:r>
          </w:p>
        </w:tc>
      </w:tr>
      <w:tr w:rsidR="00B95378" w:rsidRPr="00AB7CC7" w14:paraId="53907329" w14:textId="77777777" w:rsidTr="00DC5626">
        <w:trPr>
          <w:trHeight w:val="244"/>
        </w:trPr>
        <w:tc>
          <w:tcPr>
            <w:tcW w:w="2381" w:type="dxa"/>
            <w:vMerge/>
            <w:tcBorders>
              <w:top w:val="single" w:sz="8" w:space="0" w:color="00000A"/>
              <w:left w:val="single" w:sz="8" w:space="0" w:color="00000A"/>
              <w:bottom w:val="single" w:sz="8" w:space="0" w:color="000001"/>
              <w:right w:val="single" w:sz="4" w:space="0" w:color="00000A"/>
            </w:tcBorders>
            <w:shd w:val="clear" w:color="auto" w:fill="auto"/>
            <w:tcMar>
              <w:left w:w="60" w:type="dxa"/>
            </w:tcMar>
            <w:vAlign w:val="center"/>
          </w:tcPr>
          <w:p w14:paraId="2B8AA6F3" w14:textId="77777777" w:rsidR="00B95378" w:rsidRPr="00AB7CC7" w:rsidRDefault="00B95378" w:rsidP="00DC5626">
            <w:pPr>
              <w:widowControl/>
              <w:suppressAutoHyphens w:val="0"/>
              <w:spacing w:after="0" w:line="240" w:lineRule="auto"/>
              <w:ind w:firstLine="0"/>
              <w:jc w:val="left"/>
              <w:rPr>
                <w:rFonts w:ascii="Calibri" w:hAnsi="Calibri" w:cs="Arial CE"/>
                <w:b/>
                <w:bCs/>
                <w:sz w:val="20"/>
                <w:lang w:eastAsia="cs-CZ"/>
              </w:rPr>
            </w:pPr>
          </w:p>
        </w:tc>
        <w:tc>
          <w:tcPr>
            <w:tcW w:w="920" w:type="dxa"/>
            <w:vMerge/>
            <w:tcBorders>
              <w:top w:val="single" w:sz="8" w:space="0" w:color="00000A"/>
              <w:left w:val="single" w:sz="4" w:space="0" w:color="00000A"/>
              <w:bottom w:val="single" w:sz="8" w:space="0" w:color="000001"/>
              <w:right w:val="single" w:sz="4" w:space="0" w:color="00000A"/>
            </w:tcBorders>
            <w:shd w:val="clear" w:color="auto" w:fill="auto"/>
            <w:tcMar>
              <w:left w:w="65" w:type="dxa"/>
            </w:tcMar>
            <w:vAlign w:val="center"/>
          </w:tcPr>
          <w:p w14:paraId="01337DF7" w14:textId="77777777" w:rsidR="00B95378" w:rsidRPr="00AB7CC7" w:rsidRDefault="00B95378" w:rsidP="00DC5626">
            <w:pPr>
              <w:widowControl/>
              <w:suppressAutoHyphens w:val="0"/>
              <w:spacing w:after="0" w:line="240" w:lineRule="auto"/>
              <w:ind w:firstLine="0"/>
              <w:jc w:val="left"/>
              <w:rPr>
                <w:rFonts w:ascii="Calibri" w:hAnsi="Calibri" w:cs="Arial CE"/>
                <w:b/>
                <w:bCs/>
                <w:color w:val="000000"/>
                <w:sz w:val="20"/>
                <w:lang w:eastAsia="cs-CZ"/>
              </w:rPr>
            </w:pPr>
          </w:p>
        </w:tc>
        <w:tc>
          <w:tcPr>
            <w:tcW w:w="920" w:type="dxa"/>
            <w:vMerge/>
            <w:tcBorders>
              <w:top w:val="single" w:sz="8" w:space="0" w:color="00000A"/>
              <w:left w:val="single" w:sz="4" w:space="0" w:color="00000A"/>
              <w:bottom w:val="single" w:sz="8" w:space="0" w:color="000001"/>
              <w:right w:val="single" w:sz="4" w:space="0" w:color="00000A"/>
            </w:tcBorders>
            <w:shd w:val="clear" w:color="auto" w:fill="auto"/>
            <w:tcMar>
              <w:left w:w="65" w:type="dxa"/>
            </w:tcMar>
            <w:vAlign w:val="center"/>
          </w:tcPr>
          <w:p w14:paraId="2F741D5C" w14:textId="77777777" w:rsidR="00B95378" w:rsidRPr="00AB7CC7" w:rsidRDefault="00B95378" w:rsidP="00DC5626">
            <w:pPr>
              <w:widowControl/>
              <w:suppressAutoHyphens w:val="0"/>
              <w:spacing w:after="0" w:line="240" w:lineRule="auto"/>
              <w:ind w:firstLine="0"/>
              <w:jc w:val="left"/>
              <w:rPr>
                <w:rFonts w:ascii="Calibri" w:hAnsi="Calibri" w:cs="Arial CE"/>
                <w:b/>
                <w:bCs/>
                <w:color w:val="000000"/>
                <w:sz w:val="20"/>
                <w:lang w:eastAsia="cs-CZ"/>
              </w:rPr>
            </w:pPr>
          </w:p>
        </w:tc>
        <w:tc>
          <w:tcPr>
            <w:tcW w:w="920" w:type="dxa"/>
            <w:vMerge/>
            <w:tcBorders>
              <w:top w:val="single" w:sz="8" w:space="0" w:color="00000A"/>
              <w:left w:val="single" w:sz="4" w:space="0" w:color="00000A"/>
              <w:bottom w:val="single" w:sz="8" w:space="0" w:color="000001"/>
              <w:right w:val="single" w:sz="4" w:space="0" w:color="00000A"/>
            </w:tcBorders>
            <w:shd w:val="clear" w:color="auto" w:fill="auto"/>
            <w:tcMar>
              <w:left w:w="65" w:type="dxa"/>
            </w:tcMar>
            <w:vAlign w:val="center"/>
          </w:tcPr>
          <w:p w14:paraId="149727D8" w14:textId="77777777" w:rsidR="00B95378" w:rsidRPr="00AB7CC7" w:rsidRDefault="00B95378" w:rsidP="00DC5626">
            <w:pPr>
              <w:widowControl/>
              <w:suppressAutoHyphens w:val="0"/>
              <w:spacing w:after="0" w:line="240" w:lineRule="auto"/>
              <w:ind w:firstLine="0"/>
              <w:jc w:val="left"/>
              <w:rPr>
                <w:rFonts w:ascii="Calibri" w:hAnsi="Calibri" w:cs="Arial CE"/>
                <w:b/>
                <w:bCs/>
                <w:color w:val="000000"/>
                <w:sz w:val="20"/>
                <w:lang w:eastAsia="cs-CZ"/>
              </w:rPr>
            </w:pPr>
          </w:p>
        </w:tc>
        <w:tc>
          <w:tcPr>
            <w:tcW w:w="920" w:type="dxa"/>
            <w:vMerge/>
            <w:tcBorders>
              <w:top w:val="single" w:sz="8" w:space="0" w:color="00000A"/>
              <w:left w:val="single" w:sz="4" w:space="0" w:color="00000A"/>
              <w:bottom w:val="single" w:sz="8" w:space="0" w:color="000001"/>
              <w:right w:val="single" w:sz="4" w:space="0" w:color="00000A"/>
            </w:tcBorders>
            <w:shd w:val="clear" w:color="auto" w:fill="auto"/>
            <w:tcMar>
              <w:left w:w="65" w:type="dxa"/>
            </w:tcMar>
            <w:vAlign w:val="center"/>
          </w:tcPr>
          <w:p w14:paraId="05E04B26" w14:textId="77777777" w:rsidR="00B95378" w:rsidRPr="00AB7CC7" w:rsidRDefault="00B95378" w:rsidP="00DC5626">
            <w:pPr>
              <w:widowControl/>
              <w:suppressAutoHyphens w:val="0"/>
              <w:spacing w:after="0" w:line="240" w:lineRule="auto"/>
              <w:ind w:firstLine="0"/>
              <w:jc w:val="left"/>
              <w:rPr>
                <w:rFonts w:ascii="Calibri" w:hAnsi="Calibri" w:cs="Arial CE"/>
                <w:b/>
                <w:bCs/>
                <w:color w:val="000000"/>
                <w:sz w:val="20"/>
                <w:lang w:eastAsia="cs-CZ"/>
              </w:rPr>
            </w:pPr>
          </w:p>
        </w:tc>
        <w:tc>
          <w:tcPr>
            <w:tcW w:w="1419" w:type="dxa"/>
            <w:vMerge/>
            <w:tcBorders>
              <w:top w:val="single" w:sz="8" w:space="0" w:color="00000A"/>
              <w:left w:val="single" w:sz="4" w:space="0" w:color="00000A"/>
              <w:bottom w:val="single" w:sz="8" w:space="0" w:color="000001"/>
              <w:right w:val="single" w:sz="8" w:space="0" w:color="00000A"/>
            </w:tcBorders>
            <w:shd w:val="clear" w:color="auto" w:fill="auto"/>
            <w:tcMar>
              <w:left w:w="65" w:type="dxa"/>
            </w:tcMar>
            <w:vAlign w:val="center"/>
          </w:tcPr>
          <w:p w14:paraId="08AF9915" w14:textId="77777777" w:rsidR="00B95378" w:rsidRPr="00AB7CC7" w:rsidRDefault="00B95378" w:rsidP="00DC5626">
            <w:pPr>
              <w:widowControl/>
              <w:suppressAutoHyphens w:val="0"/>
              <w:spacing w:after="0" w:line="240" w:lineRule="auto"/>
              <w:ind w:firstLine="0"/>
              <w:jc w:val="left"/>
              <w:rPr>
                <w:rFonts w:ascii="Calibri" w:hAnsi="Calibri" w:cs="Arial CE"/>
                <w:b/>
                <w:bCs/>
                <w:color w:val="000000"/>
                <w:sz w:val="20"/>
                <w:lang w:eastAsia="cs-CZ"/>
              </w:rPr>
            </w:pPr>
          </w:p>
        </w:tc>
      </w:tr>
      <w:tr w:rsidR="00B95378" w:rsidRPr="00AB7CC7" w14:paraId="6A3F5542" w14:textId="77777777" w:rsidTr="00DC5626">
        <w:trPr>
          <w:trHeight w:val="300"/>
        </w:trPr>
        <w:tc>
          <w:tcPr>
            <w:tcW w:w="2381" w:type="dxa"/>
            <w:tcBorders>
              <w:left w:val="single" w:sz="8" w:space="0" w:color="00000A"/>
              <w:bottom w:val="single" w:sz="4" w:space="0" w:color="00000A"/>
              <w:right w:val="single" w:sz="4" w:space="0" w:color="00000A"/>
            </w:tcBorders>
            <w:shd w:val="clear" w:color="auto" w:fill="auto"/>
            <w:tcMar>
              <w:left w:w="60" w:type="dxa"/>
            </w:tcMar>
            <w:vAlign w:val="center"/>
          </w:tcPr>
          <w:p w14:paraId="679EDAC0" w14:textId="77777777" w:rsidR="00B95378" w:rsidRPr="00AB7CC7" w:rsidRDefault="00B95378" w:rsidP="00DC5626">
            <w:pPr>
              <w:widowControl/>
              <w:suppressAutoHyphens w:val="0"/>
              <w:spacing w:after="0" w:line="240" w:lineRule="auto"/>
              <w:ind w:firstLine="200"/>
              <w:jc w:val="left"/>
              <w:rPr>
                <w:rFonts w:ascii="Calibri" w:hAnsi="Calibri" w:cs="Arial CE"/>
                <w:sz w:val="20"/>
                <w:lang w:eastAsia="cs-CZ"/>
              </w:rPr>
            </w:pPr>
            <w:r w:rsidRPr="00AB7CC7">
              <w:rPr>
                <w:rFonts w:cs="Arial CE"/>
                <w:sz w:val="20"/>
                <w:lang w:eastAsia="cs-CZ"/>
              </w:rPr>
              <w:t>16 x 2,7</w:t>
            </w:r>
          </w:p>
        </w:tc>
        <w:tc>
          <w:tcPr>
            <w:tcW w:w="920" w:type="dxa"/>
            <w:tcBorders>
              <w:bottom w:val="single" w:sz="4" w:space="0" w:color="00000A"/>
              <w:right w:val="single" w:sz="4" w:space="0" w:color="00000A"/>
            </w:tcBorders>
            <w:shd w:val="clear" w:color="auto" w:fill="auto"/>
            <w:vAlign w:val="center"/>
          </w:tcPr>
          <w:p w14:paraId="543ADAA8"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16,0</w:t>
            </w:r>
          </w:p>
        </w:tc>
        <w:tc>
          <w:tcPr>
            <w:tcW w:w="920" w:type="dxa"/>
            <w:tcBorders>
              <w:bottom w:val="single" w:sz="4" w:space="0" w:color="00000A"/>
              <w:right w:val="single" w:sz="4" w:space="0" w:color="00000A"/>
            </w:tcBorders>
            <w:shd w:val="clear" w:color="auto" w:fill="auto"/>
            <w:vAlign w:val="center"/>
          </w:tcPr>
          <w:p w14:paraId="70E32FE0"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10,6</w:t>
            </w:r>
          </w:p>
        </w:tc>
        <w:tc>
          <w:tcPr>
            <w:tcW w:w="920" w:type="dxa"/>
            <w:tcBorders>
              <w:bottom w:val="single" w:sz="4" w:space="0" w:color="00000A"/>
              <w:right w:val="single" w:sz="4" w:space="0" w:color="00000A"/>
            </w:tcBorders>
            <w:shd w:val="clear" w:color="auto" w:fill="auto"/>
            <w:vAlign w:val="center"/>
          </w:tcPr>
          <w:p w14:paraId="56B0A434"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2,7</w:t>
            </w:r>
          </w:p>
        </w:tc>
        <w:tc>
          <w:tcPr>
            <w:tcW w:w="920" w:type="dxa"/>
            <w:tcBorders>
              <w:bottom w:val="single" w:sz="4" w:space="0" w:color="00000A"/>
              <w:right w:val="single" w:sz="4" w:space="0" w:color="00000A"/>
            </w:tcBorders>
            <w:shd w:val="clear" w:color="auto" w:fill="auto"/>
            <w:vAlign w:val="center"/>
          </w:tcPr>
          <w:p w14:paraId="5198343C"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16 mm</w:t>
            </w:r>
          </w:p>
        </w:tc>
        <w:tc>
          <w:tcPr>
            <w:tcW w:w="1419" w:type="dxa"/>
            <w:tcBorders>
              <w:bottom w:val="single" w:sz="4" w:space="0" w:color="00000A"/>
              <w:right w:val="single" w:sz="8" w:space="0" w:color="00000A"/>
            </w:tcBorders>
            <w:shd w:val="clear" w:color="auto" w:fill="auto"/>
            <w:vAlign w:val="center"/>
          </w:tcPr>
          <w:p w14:paraId="5718B75D"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max 0,5 m</w:t>
            </w:r>
          </w:p>
        </w:tc>
      </w:tr>
      <w:tr w:rsidR="00B95378" w:rsidRPr="00AB7CC7" w14:paraId="2584839C" w14:textId="77777777" w:rsidTr="00DC5626">
        <w:trPr>
          <w:trHeight w:val="300"/>
        </w:trPr>
        <w:tc>
          <w:tcPr>
            <w:tcW w:w="2381" w:type="dxa"/>
            <w:tcBorders>
              <w:left w:val="single" w:sz="8" w:space="0" w:color="00000A"/>
              <w:bottom w:val="single" w:sz="4" w:space="0" w:color="00000A"/>
              <w:right w:val="single" w:sz="4" w:space="0" w:color="00000A"/>
            </w:tcBorders>
            <w:shd w:val="clear" w:color="auto" w:fill="auto"/>
            <w:tcMar>
              <w:left w:w="60" w:type="dxa"/>
            </w:tcMar>
            <w:vAlign w:val="center"/>
          </w:tcPr>
          <w:p w14:paraId="1AB6A317" w14:textId="77777777" w:rsidR="00B95378" w:rsidRPr="00AB7CC7" w:rsidRDefault="00B95378" w:rsidP="00DC5626">
            <w:pPr>
              <w:widowControl/>
              <w:suppressAutoHyphens w:val="0"/>
              <w:spacing w:after="0" w:line="240" w:lineRule="auto"/>
              <w:ind w:firstLine="200"/>
              <w:jc w:val="left"/>
              <w:rPr>
                <w:rFonts w:ascii="Calibri" w:hAnsi="Calibri" w:cs="Arial CE"/>
                <w:sz w:val="20"/>
                <w:lang w:eastAsia="cs-CZ"/>
              </w:rPr>
            </w:pPr>
            <w:r w:rsidRPr="00AB7CC7">
              <w:rPr>
                <w:rFonts w:cs="Arial CE"/>
                <w:sz w:val="20"/>
                <w:lang w:eastAsia="cs-CZ"/>
              </w:rPr>
              <w:t>20 x 3,4</w:t>
            </w:r>
          </w:p>
        </w:tc>
        <w:tc>
          <w:tcPr>
            <w:tcW w:w="920" w:type="dxa"/>
            <w:tcBorders>
              <w:bottom w:val="single" w:sz="4" w:space="0" w:color="00000A"/>
              <w:right w:val="single" w:sz="4" w:space="0" w:color="00000A"/>
            </w:tcBorders>
            <w:shd w:val="clear" w:color="auto" w:fill="auto"/>
            <w:vAlign w:val="center"/>
          </w:tcPr>
          <w:p w14:paraId="6B9B6239"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20,0</w:t>
            </w:r>
          </w:p>
        </w:tc>
        <w:tc>
          <w:tcPr>
            <w:tcW w:w="920" w:type="dxa"/>
            <w:tcBorders>
              <w:bottom w:val="single" w:sz="4" w:space="0" w:color="00000A"/>
              <w:right w:val="single" w:sz="4" w:space="0" w:color="00000A"/>
            </w:tcBorders>
            <w:shd w:val="clear" w:color="auto" w:fill="auto"/>
            <w:vAlign w:val="center"/>
          </w:tcPr>
          <w:p w14:paraId="43141FBD"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13,2</w:t>
            </w:r>
          </w:p>
        </w:tc>
        <w:tc>
          <w:tcPr>
            <w:tcW w:w="920" w:type="dxa"/>
            <w:tcBorders>
              <w:bottom w:val="single" w:sz="4" w:space="0" w:color="00000A"/>
              <w:right w:val="single" w:sz="4" w:space="0" w:color="00000A"/>
            </w:tcBorders>
            <w:shd w:val="clear" w:color="auto" w:fill="auto"/>
            <w:vAlign w:val="center"/>
          </w:tcPr>
          <w:p w14:paraId="76127963"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3,4</w:t>
            </w:r>
          </w:p>
        </w:tc>
        <w:tc>
          <w:tcPr>
            <w:tcW w:w="920" w:type="dxa"/>
            <w:tcBorders>
              <w:bottom w:val="single" w:sz="4" w:space="0" w:color="00000A"/>
              <w:right w:val="single" w:sz="4" w:space="0" w:color="00000A"/>
            </w:tcBorders>
            <w:shd w:val="clear" w:color="auto" w:fill="auto"/>
            <w:vAlign w:val="center"/>
          </w:tcPr>
          <w:p w14:paraId="3DC7C21A"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16 mm</w:t>
            </w:r>
          </w:p>
        </w:tc>
        <w:tc>
          <w:tcPr>
            <w:tcW w:w="1419" w:type="dxa"/>
            <w:tcBorders>
              <w:bottom w:val="single" w:sz="4" w:space="0" w:color="00000A"/>
              <w:right w:val="single" w:sz="8" w:space="0" w:color="00000A"/>
            </w:tcBorders>
            <w:shd w:val="clear" w:color="auto" w:fill="auto"/>
            <w:vAlign w:val="center"/>
          </w:tcPr>
          <w:p w14:paraId="336E3218"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max 0,5 m</w:t>
            </w:r>
          </w:p>
        </w:tc>
      </w:tr>
      <w:tr w:rsidR="00B95378" w:rsidRPr="00AB7CC7" w14:paraId="653D36BE" w14:textId="77777777" w:rsidTr="00DC5626">
        <w:trPr>
          <w:trHeight w:val="300"/>
        </w:trPr>
        <w:tc>
          <w:tcPr>
            <w:tcW w:w="2381" w:type="dxa"/>
            <w:tcBorders>
              <w:left w:val="single" w:sz="8" w:space="0" w:color="00000A"/>
              <w:bottom w:val="single" w:sz="4" w:space="0" w:color="00000A"/>
              <w:right w:val="single" w:sz="4" w:space="0" w:color="00000A"/>
            </w:tcBorders>
            <w:shd w:val="clear" w:color="auto" w:fill="auto"/>
            <w:tcMar>
              <w:left w:w="60" w:type="dxa"/>
            </w:tcMar>
            <w:vAlign w:val="center"/>
          </w:tcPr>
          <w:p w14:paraId="67B9B6AF" w14:textId="77777777" w:rsidR="00B95378" w:rsidRPr="00AB7CC7" w:rsidRDefault="00B95378" w:rsidP="00DC5626">
            <w:pPr>
              <w:widowControl/>
              <w:suppressAutoHyphens w:val="0"/>
              <w:spacing w:after="0" w:line="240" w:lineRule="auto"/>
              <w:ind w:firstLine="200"/>
              <w:jc w:val="left"/>
              <w:rPr>
                <w:rFonts w:ascii="Calibri" w:hAnsi="Calibri" w:cs="Arial CE"/>
                <w:sz w:val="20"/>
                <w:lang w:eastAsia="cs-CZ"/>
              </w:rPr>
            </w:pPr>
            <w:r w:rsidRPr="00AB7CC7">
              <w:rPr>
                <w:rFonts w:cs="Arial CE"/>
                <w:sz w:val="20"/>
                <w:lang w:eastAsia="cs-CZ"/>
              </w:rPr>
              <w:t>25 x 4,2</w:t>
            </w:r>
          </w:p>
        </w:tc>
        <w:tc>
          <w:tcPr>
            <w:tcW w:w="920" w:type="dxa"/>
            <w:tcBorders>
              <w:bottom w:val="single" w:sz="4" w:space="0" w:color="00000A"/>
              <w:right w:val="single" w:sz="4" w:space="0" w:color="00000A"/>
            </w:tcBorders>
            <w:shd w:val="clear" w:color="auto" w:fill="auto"/>
            <w:vAlign w:val="center"/>
          </w:tcPr>
          <w:p w14:paraId="5AA24E8F"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25,0</w:t>
            </w:r>
          </w:p>
        </w:tc>
        <w:tc>
          <w:tcPr>
            <w:tcW w:w="920" w:type="dxa"/>
            <w:tcBorders>
              <w:bottom w:val="single" w:sz="4" w:space="0" w:color="00000A"/>
              <w:right w:val="single" w:sz="4" w:space="0" w:color="00000A"/>
            </w:tcBorders>
            <w:shd w:val="clear" w:color="auto" w:fill="auto"/>
            <w:vAlign w:val="center"/>
          </w:tcPr>
          <w:p w14:paraId="1FACAEE0"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16,6</w:t>
            </w:r>
          </w:p>
        </w:tc>
        <w:tc>
          <w:tcPr>
            <w:tcW w:w="920" w:type="dxa"/>
            <w:tcBorders>
              <w:bottom w:val="single" w:sz="4" w:space="0" w:color="00000A"/>
              <w:right w:val="single" w:sz="4" w:space="0" w:color="00000A"/>
            </w:tcBorders>
            <w:shd w:val="clear" w:color="auto" w:fill="auto"/>
            <w:vAlign w:val="center"/>
          </w:tcPr>
          <w:p w14:paraId="3EBD8292"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4,2</w:t>
            </w:r>
          </w:p>
        </w:tc>
        <w:tc>
          <w:tcPr>
            <w:tcW w:w="920" w:type="dxa"/>
            <w:tcBorders>
              <w:bottom w:val="single" w:sz="4" w:space="0" w:color="00000A"/>
              <w:right w:val="single" w:sz="4" w:space="0" w:color="00000A"/>
            </w:tcBorders>
            <w:shd w:val="clear" w:color="auto" w:fill="auto"/>
            <w:vAlign w:val="center"/>
          </w:tcPr>
          <w:p w14:paraId="0746E18D"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16 mm</w:t>
            </w:r>
          </w:p>
        </w:tc>
        <w:tc>
          <w:tcPr>
            <w:tcW w:w="1419" w:type="dxa"/>
            <w:tcBorders>
              <w:bottom w:val="single" w:sz="4" w:space="0" w:color="00000A"/>
              <w:right w:val="single" w:sz="8" w:space="0" w:color="00000A"/>
            </w:tcBorders>
            <w:shd w:val="clear" w:color="auto" w:fill="auto"/>
            <w:vAlign w:val="center"/>
          </w:tcPr>
          <w:p w14:paraId="45478EC7"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max 0,5 m</w:t>
            </w:r>
          </w:p>
        </w:tc>
      </w:tr>
      <w:tr w:rsidR="00B95378" w:rsidRPr="00AB7CC7" w14:paraId="07B15A42" w14:textId="77777777" w:rsidTr="00DC5626">
        <w:trPr>
          <w:trHeight w:val="300"/>
        </w:trPr>
        <w:tc>
          <w:tcPr>
            <w:tcW w:w="2381" w:type="dxa"/>
            <w:tcBorders>
              <w:left w:val="single" w:sz="8" w:space="0" w:color="00000A"/>
              <w:bottom w:val="single" w:sz="4" w:space="0" w:color="00000A"/>
              <w:right w:val="single" w:sz="4" w:space="0" w:color="00000A"/>
            </w:tcBorders>
            <w:shd w:val="clear" w:color="auto" w:fill="auto"/>
            <w:tcMar>
              <w:left w:w="60" w:type="dxa"/>
            </w:tcMar>
            <w:vAlign w:val="center"/>
          </w:tcPr>
          <w:p w14:paraId="7869F7AE" w14:textId="77777777" w:rsidR="00B95378" w:rsidRPr="00AB7CC7" w:rsidRDefault="00B95378" w:rsidP="00DC5626">
            <w:pPr>
              <w:widowControl/>
              <w:suppressAutoHyphens w:val="0"/>
              <w:spacing w:after="0" w:line="240" w:lineRule="auto"/>
              <w:ind w:firstLine="200"/>
              <w:jc w:val="left"/>
              <w:rPr>
                <w:rFonts w:ascii="Calibri" w:hAnsi="Calibri" w:cs="Arial CE"/>
                <w:sz w:val="20"/>
                <w:lang w:eastAsia="cs-CZ"/>
              </w:rPr>
            </w:pPr>
            <w:r w:rsidRPr="00AB7CC7">
              <w:rPr>
                <w:rFonts w:cs="Arial CE"/>
                <w:sz w:val="20"/>
                <w:lang w:eastAsia="cs-CZ"/>
              </w:rPr>
              <w:t>32 x 5,4</w:t>
            </w:r>
          </w:p>
        </w:tc>
        <w:tc>
          <w:tcPr>
            <w:tcW w:w="920" w:type="dxa"/>
            <w:tcBorders>
              <w:bottom w:val="single" w:sz="4" w:space="0" w:color="00000A"/>
              <w:right w:val="single" w:sz="4" w:space="0" w:color="00000A"/>
            </w:tcBorders>
            <w:shd w:val="clear" w:color="auto" w:fill="auto"/>
            <w:vAlign w:val="center"/>
          </w:tcPr>
          <w:p w14:paraId="144FB431"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32,0</w:t>
            </w:r>
          </w:p>
        </w:tc>
        <w:tc>
          <w:tcPr>
            <w:tcW w:w="920" w:type="dxa"/>
            <w:tcBorders>
              <w:bottom w:val="single" w:sz="4" w:space="0" w:color="00000A"/>
              <w:right w:val="single" w:sz="4" w:space="0" w:color="00000A"/>
            </w:tcBorders>
            <w:shd w:val="clear" w:color="auto" w:fill="auto"/>
            <w:vAlign w:val="center"/>
          </w:tcPr>
          <w:p w14:paraId="50C07785"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21,2</w:t>
            </w:r>
          </w:p>
        </w:tc>
        <w:tc>
          <w:tcPr>
            <w:tcW w:w="920" w:type="dxa"/>
            <w:tcBorders>
              <w:bottom w:val="single" w:sz="4" w:space="0" w:color="00000A"/>
              <w:right w:val="single" w:sz="4" w:space="0" w:color="00000A"/>
            </w:tcBorders>
            <w:shd w:val="clear" w:color="auto" w:fill="auto"/>
            <w:vAlign w:val="center"/>
          </w:tcPr>
          <w:p w14:paraId="02B5FA3E"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5,4</w:t>
            </w:r>
          </w:p>
        </w:tc>
        <w:tc>
          <w:tcPr>
            <w:tcW w:w="920" w:type="dxa"/>
            <w:tcBorders>
              <w:bottom w:val="single" w:sz="4" w:space="0" w:color="00000A"/>
              <w:right w:val="single" w:sz="4" w:space="0" w:color="00000A"/>
            </w:tcBorders>
            <w:shd w:val="clear" w:color="auto" w:fill="auto"/>
            <w:vAlign w:val="center"/>
          </w:tcPr>
          <w:p w14:paraId="1A4DD698"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16 mm</w:t>
            </w:r>
          </w:p>
        </w:tc>
        <w:tc>
          <w:tcPr>
            <w:tcW w:w="1419" w:type="dxa"/>
            <w:tcBorders>
              <w:bottom w:val="single" w:sz="4" w:space="0" w:color="00000A"/>
              <w:right w:val="single" w:sz="8" w:space="0" w:color="00000A"/>
            </w:tcBorders>
            <w:shd w:val="clear" w:color="auto" w:fill="auto"/>
            <w:vAlign w:val="center"/>
          </w:tcPr>
          <w:p w14:paraId="372E564B"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max 0,5 m</w:t>
            </w:r>
          </w:p>
        </w:tc>
      </w:tr>
      <w:tr w:rsidR="00B95378" w:rsidRPr="00AB7CC7" w14:paraId="0443DE1D" w14:textId="77777777" w:rsidTr="00DC5626">
        <w:trPr>
          <w:trHeight w:val="300"/>
        </w:trPr>
        <w:tc>
          <w:tcPr>
            <w:tcW w:w="2381" w:type="dxa"/>
            <w:tcBorders>
              <w:left w:val="single" w:sz="8" w:space="0" w:color="00000A"/>
              <w:bottom w:val="single" w:sz="4" w:space="0" w:color="00000A"/>
              <w:right w:val="single" w:sz="4" w:space="0" w:color="00000A"/>
            </w:tcBorders>
            <w:shd w:val="clear" w:color="auto" w:fill="auto"/>
            <w:tcMar>
              <w:left w:w="60" w:type="dxa"/>
            </w:tcMar>
            <w:vAlign w:val="center"/>
          </w:tcPr>
          <w:p w14:paraId="39E055BE" w14:textId="77777777" w:rsidR="00B95378" w:rsidRPr="00AB7CC7" w:rsidRDefault="00B95378" w:rsidP="00DC5626">
            <w:pPr>
              <w:widowControl/>
              <w:suppressAutoHyphens w:val="0"/>
              <w:spacing w:after="0" w:line="240" w:lineRule="auto"/>
              <w:ind w:firstLine="200"/>
              <w:jc w:val="left"/>
              <w:rPr>
                <w:rFonts w:ascii="Calibri" w:hAnsi="Calibri" w:cs="Arial CE"/>
                <w:sz w:val="20"/>
                <w:lang w:eastAsia="cs-CZ"/>
              </w:rPr>
            </w:pPr>
            <w:r w:rsidRPr="00AB7CC7">
              <w:rPr>
                <w:rFonts w:cs="Arial CE"/>
                <w:sz w:val="20"/>
                <w:lang w:eastAsia="cs-CZ"/>
              </w:rPr>
              <w:t>40 x 6,7</w:t>
            </w:r>
          </w:p>
        </w:tc>
        <w:tc>
          <w:tcPr>
            <w:tcW w:w="920" w:type="dxa"/>
            <w:tcBorders>
              <w:bottom w:val="single" w:sz="4" w:space="0" w:color="00000A"/>
              <w:right w:val="single" w:sz="4" w:space="0" w:color="00000A"/>
            </w:tcBorders>
            <w:shd w:val="clear" w:color="auto" w:fill="auto"/>
            <w:vAlign w:val="center"/>
          </w:tcPr>
          <w:p w14:paraId="6E46239A"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40,0</w:t>
            </w:r>
          </w:p>
        </w:tc>
        <w:tc>
          <w:tcPr>
            <w:tcW w:w="920" w:type="dxa"/>
            <w:tcBorders>
              <w:bottom w:val="single" w:sz="4" w:space="0" w:color="00000A"/>
              <w:right w:val="single" w:sz="4" w:space="0" w:color="00000A"/>
            </w:tcBorders>
            <w:shd w:val="clear" w:color="auto" w:fill="auto"/>
            <w:vAlign w:val="center"/>
          </w:tcPr>
          <w:p w14:paraId="13D0B306"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26,6</w:t>
            </w:r>
          </w:p>
        </w:tc>
        <w:tc>
          <w:tcPr>
            <w:tcW w:w="920" w:type="dxa"/>
            <w:tcBorders>
              <w:bottom w:val="single" w:sz="4" w:space="0" w:color="00000A"/>
              <w:right w:val="single" w:sz="4" w:space="0" w:color="00000A"/>
            </w:tcBorders>
            <w:shd w:val="clear" w:color="auto" w:fill="auto"/>
            <w:vAlign w:val="center"/>
          </w:tcPr>
          <w:p w14:paraId="4870AC32"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6,7</w:t>
            </w:r>
          </w:p>
        </w:tc>
        <w:tc>
          <w:tcPr>
            <w:tcW w:w="920" w:type="dxa"/>
            <w:tcBorders>
              <w:bottom w:val="single" w:sz="4" w:space="0" w:color="00000A"/>
              <w:right w:val="single" w:sz="4" w:space="0" w:color="00000A"/>
            </w:tcBorders>
            <w:shd w:val="clear" w:color="auto" w:fill="auto"/>
            <w:vAlign w:val="center"/>
          </w:tcPr>
          <w:p w14:paraId="258ACACA"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16 mm</w:t>
            </w:r>
          </w:p>
        </w:tc>
        <w:tc>
          <w:tcPr>
            <w:tcW w:w="1419" w:type="dxa"/>
            <w:tcBorders>
              <w:bottom w:val="single" w:sz="4" w:space="0" w:color="00000A"/>
              <w:right w:val="single" w:sz="8" w:space="0" w:color="00000A"/>
            </w:tcBorders>
            <w:shd w:val="clear" w:color="auto" w:fill="auto"/>
            <w:vAlign w:val="center"/>
          </w:tcPr>
          <w:p w14:paraId="58926BF1"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max 1,0 m</w:t>
            </w:r>
          </w:p>
        </w:tc>
      </w:tr>
      <w:tr w:rsidR="00B95378" w:rsidRPr="00AB7CC7" w14:paraId="0BFB1290" w14:textId="77777777" w:rsidTr="00DC5626">
        <w:trPr>
          <w:trHeight w:val="300"/>
        </w:trPr>
        <w:tc>
          <w:tcPr>
            <w:tcW w:w="2381" w:type="dxa"/>
            <w:tcBorders>
              <w:left w:val="single" w:sz="8" w:space="0" w:color="00000A"/>
              <w:bottom w:val="single" w:sz="4" w:space="0" w:color="00000A"/>
              <w:right w:val="single" w:sz="4" w:space="0" w:color="00000A"/>
            </w:tcBorders>
            <w:shd w:val="clear" w:color="auto" w:fill="auto"/>
            <w:tcMar>
              <w:left w:w="60" w:type="dxa"/>
            </w:tcMar>
            <w:vAlign w:val="center"/>
          </w:tcPr>
          <w:p w14:paraId="3AAC9EAE" w14:textId="77777777" w:rsidR="00B95378" w:rsidRPr="00AB7CC7" w:rsidRDefault="00B95378" w:rsidP="00DC5626">
            <w:pPr>
              <w:widowControl/>
              <w:suppressAutoHyphens w:val="0"/>
              <w:spacing w:after="0" w:line="240" w:lineRule="auto"/>
              <w:ind w:firstLine="200"/>
              <w:jc w:val="left"/>
              <w:rPr>
                <w:rFonts w:ascii="Calibri" w:hAnsi="Calibri" w:cs="Arial CE"/>
                <w:sz w:val="20"/>
                <w:lang w:eastAsia="cs-CZ"/>
              </w:rPr>
            </w:pPr>
            <w:r w:rsidRPr="00AB7CC7">
              <w:rPr>
                <w:rFonts w:cs="Arial CE"/>
                <w:sz w:val="20"/>
                <w:lang w:eastAsia="cs-CZ"/>
              </w:rPr>
              <w:t>50 x 8,3</w:t>
            </w:r>
          </w:p>
        </w:tc>
        <w:tc>
          <w:tcPr>
            <w:tcW w:w="920" w:type="dxa"/>
            <w:tcBorders>
              <w:bottom w:val="single" w:sz="4" w:space="0" w:color="00000A"/>
              <w:right w:val="single" w:sz="4" w:space="0" w:color="00000A"/>
            </w:tcBorders>
            <w:shd w:val="clear" w:color="auto" w:fill="auto"/>
            <w:vAlign w:val="center"/>
          </w:tcPr>
          <w:p w14:paraId="0B505022"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50,0</w:t>
            </w:r>
          </w:p>
        </w:tc>
        <w:tc>
          <w:tcPr>
            <w:tcW w:w="920" w:type="dxa"/>
            <w:tcBorders>
              <w:bottom w:val="single" w:sz="4" w:space="0" w:color="00000A"/>
              <w:right w:val="single" w:sz="4" w:space="0" w:color="00000A"/>
            </w:tcBorders>
            <w:shd w:val="clear" w:color="auto" w:fill="auto"/>
            <w:vAlign w:val="center"/>
          </w:tcPr>
          <w:p w14:paraId="231ED071"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33,4</w:t>
            </w:r>
          </w:p>
        </w:tc>
        <w:tc>
          <w:tcPr>
            <w:tcW w:w="920" w:type="dxa"/>
            <w:tcBorders>
              <w:bottom w:val="single" w:sz="4" w:space="0" w:color="00000A"/>
              <w:right w:val="single" w:sz="4" w:space="0" w:color="00000A"/>
            </w:tcBorders>
            <w:shd w:val="clear" w:color="auto" w:fill="auto"/>
            <w:vAlign w:val="center"/>
          </w:tcPr>
          <w:p w14:paraId="702F3958"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8,3</w:t>
            </w:r>
          </w:p>
        </w:tc>
        <w:tc>
          <w:tcPr>
            <w:tcW w:w="920" w:type="dxa"/>
            <w:tcBorders>
              <w:bottom w:val="single" w:sz="4" w:space="0" w:color="00000A"/>
              <w:right w:val="single" w:sz="4" w:space="0" w:color="00000A"/>
            </w:tcBorders>
            <w:shd w:val="clear" w:color="auto" w:fill="auto"/>
            <w:vAlign w:val="center"/>
          </w:tcPr>
          <w:p w14:paraId="5EB7CAF2"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16 mm</w:t>
            </w:r>
          </w:p>
        </w:tc>
        <w:tc>
          <w:tcPr>
            <w:tcW w:w="1419" w:type="dxa"/>
            <w:tcBorders>
              <w:bottom w:val="single" w:sz="4" w:space="0" w:color="00000A"/>
              <w:right w:val="single" w:sz="8" w:space="0" w:color="00000A"/>
            </w:tcBorders>
            <w:shd w:val="clear" w:color="auto" w:fill="auto"/>
            <w:vAlign w:val="center"/>
          </w:tcPr>
          <w:p w14:paraId="4BF187FF"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max 1,0 m</w:t>
            </w:r>
          </w:p>
        </w:tc>
      </w:tr>
      <w:tr w:rsidR="00B95378" w:rsidRPr="00AB7CC7" w14:paraId="35BD9270" w14:textId="77777777" w:rsidTr="00DC5626">
        <w:trPr>
          <w:trHeight w:val="300"/>
        </w:trPr>
        <w:tc>
          <w:tcPr>
            <w:tcW w:w="2381" w:type="dxa"/>
            <w:tcBorders>
              <w:left w:val="single" w:sz="8" w:space="0" w:color="00000A"/>
              <w:bottom w:val="single" w:sz="4" w:space="0" w:color="00000A"/>
              <w:right w:val="single" w:sz="4" w:space="0" w:color="00000A"/>
            </w:tcBorders>
            <w:shd w:val="clear" w:color="auto" w:fill="auto"/>
            <w:tcMar>
              <w:left w:w="60" w:type="dxa"/>
            </w:tcMar>
            <w:vAlign w:val="center"/>
          </w:tcPr>
          <w:p w14:paraId="3A03D862" w14:textId="77777777" w:rsidR="00B95378" w:rsidRPr="00AB7CC7" w:rsidRDefault="00B95378" w:rsidP="00DC5626">
            <w:pPr>
              <w:widowControl/>
              <w:suppressAutoHyphens w:val="0"/>
              <w:spacing w:after="0" w:line="240" w:lineRule="auto"/>
              <w:ind w:firstLine="200"/>
              <w:jc w:val="left"/>
              <w:rPr>
                <w:rFonts w:ascii="Calibri" w:hAnsi="Calibri" w:cs="Arial CE"/>
                <w:sz w:val="20"/>
                <w:lang w:eastAsia="cs-CZ"/>
              </w:rPr>
            </w:pPr>
            <w:r w:rsidRPr="00AB7CC7">
              <w:rPr>
                <w:rFonts w:cs="Arial CE"/>
                <w:sz w:val="20"/>
                <w:lang w:eastAsia="cs-CZ"/>
              </w:rPr>
              <w:t>63 x 10,5</w:t>
            </w:r>
          </w:p>
        </w:tc>
        <w:tc>
          <w:tcPr>
            <w:tcW w:w="920" w:type="dxa"/>
            <w:tcBorders>
              <w:bottom w:val="single" w:sz="4" w:space="0" w:color="00000A"/>
              <w:right w:val="single" w:sz="4" w:space="0" w:color="00000A"/>
            </w:tcBorders>
            <w:shd w:val="clear" w:color="auto" w:fill="auto"/>
            <w:vAlign w:val="center"/>
          </w:tcPr>
          <w:p w14:paraId="4090F8AD"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63,0</w:t>
            </w:r>
          </w:p>
        </w:tc>
        <w:tc>
          <w:tcPr>
            <w:tcW w:w="920" w:type="dxa"/>
            <w:tcBorders>
              <w:bottom w:val="single" w:sz="4" w:space="0" w:color="00000A"/>
              <w:right w:val="single" w:sz="4" w:space="0" w:color="00000A"/>
            </w:tcBorders>
            <w:shd w:val="clear" w:color="auto" w:fill="auto"/>
            <w:vAlign w:val="center"/>
          </w:tcPr>
          <w:p w14:paraId="14A0CCDB"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42,0</w:t>
            </w:r>
          </w:p>
        </w:tc>
        <w:tc>
          <w:tcPr>
            <w:tcW w:w="920" w:type="dxa"/>
            <w:tcBorders>
              <w:bottom w:val="single" w:sz="4" w:space="0" w:color="00000A"/>
              <w:right w:val="single" w:sz="4" w:space="0" w:color="00000A"/>
            </w:tcBorders>
            <w:shd w:val="clear" w:color="auto" w:fill="auto"/>
            <w:vAlign w:val="center"/>
          </w:tcPr>
          <w:p w14:paraId="77DFB663"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10,5</w:t>
            </w:r>
          </w:p>
        </w:tc>
        <w:tc>
          <w:tcPr>
            <w:tcW w:w="920" w:type="dxa"/>
            <w:tcBorders>
              <w:bottom w:val="single" w:sz="4" w:space="0" w:color="00000A"/>
              <w:right w:val="single" w:sz="4" w:space="0" w:color="00000A"/>
            </w:tcBorders>
            <w:shd w:val="clear" w:color="auto" w:fill="auto"/>
            <w:vAlign w:val="center"/>
          </w:tcPr>
          <w:p w14:paraId="5C64E315"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16 mm</w:t>
            </w:r>
          </w:p>
        </w:tc>
        <w:tc>
          <w:tcPr>
            <w:tcW w:w="1419" w:type="dxa"/>
            <w:tcBorders>
              <w:bottom w:val="single" w:sz="4" w:space="0" w:color="00000A"/>
              <w:right w:val="single" w:sz="8" w:space="0" w:color="00000A"/>
            </w:tcBorders>
            <w:shd w:val="clear" w:color="auto" w:fill="auto"/>
            <w:vAlign w:val="center"/>
          </w:tcPr>
          <w:p w14:paraId="256884DB" w14:textId="77777777" w:rsidR="00B95378" w:rsidRPr="00AB7CC7" w:rsidRDefault="00B95378" w:rsidP="00DC5626">
            <w:pPr>
              <w:widowControl/>
              <w:suppressAutoHyphens w:val="0"/>
              <w:spacing w:after="0" w:line="240" w:lineRule="auto"/>
              <w:ind w:firstLine="0"/>
              <w:jc w:val="center"/>
              <w:rPr>
                <w:rFonts w:ascii="Calibri" w:hAnsi="Calibri" w:cs="Arial CE"/>
                <w:sz w:val="20"/>
                <w:lang w:eastAsia="cs-CZ"/>
              </w:rPr>
            </w:pPr>
            <w:r w:rsidRPr="00AB7CC7">
              <w:rPr>
                <w:rFonts w:cs="Arial CE"/>
                <w:sz w:val="20"/>
                <w:lang w:eastAsia="cs-CZ"/>
              </w:rPr>
              <w:t>max 1,5 m</w:t>
            </w:r>
          </w:p>
        </w:tc>
      </w:tr>
      <w:tr w:rsidR="00B95378" w:rsidRPr="00AB7CC7" w14:paraId="6BE972DF" w14:textId="77777777" w:rsidTr="00DC5626">
        <w:trPr>
          <w:trHeight w:val="300"/>
        </w:trPr>
        <w:tc>
          <w:tcPr>
            <w:tcW w:w="7480" w:type="dxa"/>
            <w:gridSpan w:val="6"/>
            <w:tcBorders>
              <w:left w:val="single" w:sz="8" w:space="0" w:color="00000A"/>
              <w:bottom w:val="single" w:sz="8" w:space="0" w:color="00000A"/>
              <w:right w:val="single" w:sz="8" w:space="0" w:color="000001"/>
            </w:tcBorders>
            <w:shd w:val="clear" w:color="auto" w:fill="auto"/>
            <w:tcMar>
              <w:left w:w="60" w:type="dxa"/>
            </w:tcMar>
            <w:vAlign w:val="center"/>
          </w:tcPr>
          <w:p w14:paraId="44A7941A" w14:textId="77777777" w:rsidR="00B95378" w:rsidRPr="00AB7CC7" w:rsidRDefault="00B95378" w:rsidP="00DC5626">
            <w:pPr>
              <w:widowControl/>
              <w:suppressAutoHyphens w:val="0"/>
              <w:spacing w:after="0" w:line="240" w:lineRule="auto"/>
              <w:ind w:firstLine="0"/>
              <w:jc w:val="left"/>
              <w:rPr>
                <w:rFonts w:ascii="Calibri" w:hAnsi="Calibri" w:cs="Arial CE"/>
                <w:sz w:val="20"/>
                <w:lang w:eastAsia="cs-CZ"/>
              </w:rPr>
            </w:pPr>
            <w:r w:rsidRPr="00AB7CC7">
              <w:rPr>
                <w:rFonts w:cs="Arial CE"/>
                <w:sz w:val="20"/>
                <w:lang w:eastAsia="cs-CZ"/>
              </w:rPr>
              <w:t xml:space="preserve">** Maximální doporučená vzdálenost </w:t>
            </w:r>
            <w:proofErr w:type="gramStart"/>
            <w:r w:rsidRPr="00AB7CC7">
              <w:rPr>
                <w:rFonts w:cs="Arial CE"/>
                <w:sz w:val="20"/>
                <w:lang w:eastAsia="cs-CZ"/>
              </w:rPr>
              <w:t>upevnění - technická</w:t>
            </w:r>
            <w:proofErr w:type="gramEnd"/>
            <w:r w:rsidRPr="00AB7CC7">
              <w:rPr>
                <w:rFonts w:cs="Arial CE"/>
                <w:sz w:val="20"/>
                <w:lang w:eastAsia="cs-CZ"/>
              </w:rPr>
              <w:t xml:space="preserve"> dokumentace Koňařík</w:t>
            </w:r>
          </w:p>
        </w:tc>
      </w:tr>
    </w:tbl>
    <w:p w14:paraId="75E8D583" w14:textId="77777777" w:rsidR="00B95378" w:rsidRPr="00AB7CC7" w:rsidRDefault="00B95378" w:rsidP="00B95378"/>
    <w:p w14:paraId="0053F037" w14:textId="77777777" w:rsidR="00B95378" w:rsidRPr="00AB7CC7" w:rsidRDefault="00B95378" w:rsidP="00B95378">
      <w:pPr>
        <w:pStyle w:val="Nadpis3"/>
      </w:pPr>
      <w:bookmarkStart w:id="5" w:name="_Toc499816220"/>
      <w:r w:rsidRPr="00AB7CC7">
        <w:t>Kompenzace tepelných dilatací</w:t>
      </w:r>
      <w:bookmarkEnd w:id="5"/>
    </w:p>
    <w:p w14:paraId="2F331791" w14:textId="77777777" w:rsidR="00B95378" w:rsidRPr="00AB7CC7" w:rsidRDefault="00B95378" w:rsidP="00B95378">
      <w:r w:rsidRPr="00AB7CC7">
        <w:t>Kompenzace tepelných dilatací jsou řešeny změnou trasy, při prostupu zdmi musí být potrubí vedeno v chráničce, která zajistí volný pohyb potrubí.</w:t>
      </w:r>
    </w:p>
    <w:p w14:paraId="561BE83F" w14:textId="77777777" w:rsidR="00B95378" w:rsidRPr="00AB7CC7" w:rsidRDefault="00B95378" w:rsidP="00B95378">
      <w:pPr>
        <w:pStyle w:val="Nadpis2"/>
      </w:pPr>
      <w:bookmarkStart w:id="6" w:name="_Toc466283704"/>
      <w:bookmarkStart w:id="7" w:name="_Toc466283396"/>
      <w:bookmarkStart w:id="8" w:name="_Toc499816221"/>
      <w:bookmarkEnd w:id="6"/>
      <w:bookmarkEnd w:id="7"/>
      <w:r w:rsidRPr="00AB7CC7">
        <w:t>Nátěry</w:t>
      </w:r>
      <w:bookmarkEnd w:id="8"/>
    </w:p>
    <w:p w14:paraId="07A9A78F" w14:textId="77777777" w:rsidR="00B95378" w:rsidRPr="00AB7CC7" w:rsidRDefault="00B95378" w:rsidP="00B95378">
      <w:pPr>
        <w:pStyle w:val="Nadpis3"/>
      </w:pPr>
      <w:bookmarkStart w:id="9" w:name="_Toc449022447"/>
      <w:bookmarkStart w:id="10" w:name="_Toc466283705"/>
      <w:bookmarkStart w:id="11" w:name="_Toc466283397"/>
      <w:bookmarkStart w:id="12" w:name="_Toc499816222"/>
      <w:bookmarkEnd w:id="9"/>
      <w:bookmarkEnd w:id="10"/>
      <w:bookmarkEnd w:id="11"/>
      <w:r w:rsidRPr="00AB7CC7">
        <w:t>Obecné zásady</w:t>
      </w:r>
      <w:bookmarkEnd w:id="12"/>
    </w:p>
    <w:p w14:paraId="128DD74B" w14:textId="77777777" w:rsidR="00B95378" w:rsidRPr="00AB7CC7" w:rsidRDefault="00B95378" w:rsidP="00B95378">
      <w:r w:rsidRPr="00AB7CC7">
        <w:t>Před vlastním nátěrem kovových materiálů a výrobků je nutno jejich povrch důkladně očistit a odmastit. Očistí se otryskáním dle ČSN EN ISO 11124 (část 1-4), příp. dle ČSN EN ISO 11126 (část 1-8). Povrch se odmastí vodným roztokem podle postupu stanoveným jeho výrobcem</w:t>
      </w:r>
    </w:p>
    <w:p w14:paraId="66891084" w14:textId="77777777" w:rsidR="00B95378" w:rsidRPr="00AB7CC7" w:rsidRDefault="00B95378" w:rsidP="00B95378">
      <w:r w:rsidRPr="00AB7CC7">
        <w:t xml:space="preserve">Na očištěný a odmaštěný povrch se nanese základní nátěr přilnavý na kov a dvakrát konečné lakování. Jednotlivé vrstvy nátěru budou nanášeny dle ČSN ISO 12944. </w:t>
      </w:r>
    </w:p>
    <w:p w14:paraId="334B819A" w14:textId="77777777" w:rsidR="00B95378" w:rsidRPr="00AB7CC7" w:rsidRDefault="00B95378" w:rsidP="00B95378">
      <w:r w:rsidRPr="00AB7CC7">
        <w:t>Všechny povrchové úpravy musí být v souladu s návodem k použití od výrobce (např. základní nátěr, teplota pro aplikaci, úprava povrchu odrezováním, opískováním apod.)</w:t>
      </w:r>
    </w:p>
    <w:p w14:paraId="72B7CF21" w14:textId="77777777" w:rsidR="00B95378" w:rsidRPr="00AB7CC7" w:rsidRDefault="00B95378" w:rsidP="00B95378">
      <w:r w:rsidRPr="00AB7CC7">
        <w:t>Všechny stroje a zařízení jsou z výroby opatřeny vrchním krycím nátěrem.</w:t>
      </w:r>
    </w:p>
    <w:p w14:paraId="10920B32" w14:textId="77777777" w:rsidR="00B95378" w:rsidRPr="00AB7CC7" w:rsidRDefault="00B95378" w:rsidP="00B95378">
      <w:r w:rsidRPr="00AB7CC7">
        <w:t>Veškeré barvy musí vykazovat vysokou kvalitu a dlouhou životnost. Minimální požadavek je syntetická barva ve třech vrstvách s minimální celkovou tloušťkou 150 mikronů (μm).  V případě, že povrchová úprava z výroby neodpovídá požadavkům, je povinností Zhotovitele učinit nápravu.</w:t>
      </w:r>
    </w:p>
    <w:p w14:paraId="4DC42759" w14:textId="77777777" w:rsidR="00B95378" w:rsidRPr="00AB7CC7" w:rsidRDefault="00B95378" w:rsidP="00B95378">
      <w:pPr>
        <w:pStyle w:val="Nadpis3"/>
      </w:pPr>
      <w:bookmarkStart w:id="13" w:name="_Toc449022448"/>
      <w:bookmarkStart w:id="14" w:name="_Toc466283706"/>
      <w:bookmarkStart w:id="15" w:name="_Toc466283398"/>
      <w:bookmarkStart w:id="16" w:name="_Toc499816223"/>
      <w:bookmarkEnd w:id="13"/>
      <w:bookmarkEnd w:id="14"/>
      <w:bookmarkEnd w:id="15"/>
      <w:r w:rsidRPr="00AB7CC7">
        <w:t>Ochrana ocelových potrubí a konstrukcí</w:t>
      </w:r>
      <w:bookmarkEnd w:id="16"/>
    </w:p>
    <w:p w14:paraId="79266549" w14:textId="77777777" w:rsidR="00B95378" w:rsidRPr="00AB7CC7" w:rsidRDefault="00B95378" w:rsidP="00B95378">
      <w:r w:rsidRPr="00AB7CC7">
        <w:t xml:space="preserve">Veškeré nové konstrukce, vnější pláště nádrží a nová zařízení (podle klasifikace povrchu </w:t>
      </w:r>
      <w:proofErr w:type="gramStart"/>
      <w:r w:rsidRPr="00AB7CC7">
        <w:t>A,B</w:t>
      </w:r>
      <w:proofErr w:type="gramEnd"/>
      <w:r w:rsidRPr="00AB7CC7">
        <w:t xml:space="preserve">,C,D – ČSN 03 8221) se musí před aplikací nátěrového systému otryskat na stupeň 03 dle ČSN 03 8221. Povrch znečistěný látkami rozpustnými ve vodě se musí předem opláchnout dostatečným množstvím vody nejlépe teplé, v případě mastných nečistot vhodnými chemickými látkami (saponáty apod.). </w:t>
      </w:r>
    </w:p>
    <w:p w14:paraId="51088732" w14:textId="77777777" w:rsidR="00B95378" w:rsidRPr="00AB7CC7" w:rsidRDefault="00B95378" w:rsidP="00B95378">
      <w:r w:rsidRPr="00AB7CC7">
        <w:t>Povlaky musí být naneseny na suchý povrch s teplotou o min. 3 °C vyšší</w:t>
      </w:r>
      <w:r w:rsidR="002970CE" w:rsidRPr="00AB7CC7">
        <w:t>,</w:t>
      </w:r>
      <w:r w:rsidRPr="00AB7CC7">
        <w:t xml:space="preserve"> než je teplota rosného bodu. Veškeré základní nátěry je nutno provádět štětcem. Pro všechny nátěry je nutno dodržovat pokyny předepsané výrobcem. </w:t>
      </w:r>
    </w:p>
    <w:p w14:paraId="4F3775BC" w14:textId="77777777" w:rsidR="00B95378" w:rsidRPr="00AB7CC7" w:rsidRDefault="00B95378" w:rsidP="00B95378">
      <w:r w:rsidRPr="00AB7CC7">
        <w:t xml:space="preserve">Nátěrové systémy s tloušťkou přes 160 mm je nutno nanést více než 2 vrstvami odlišných </w:t>
      </w:r>
      <w:r w:rsidRPr="00AB7CC7">
        <w:lastRenderedPageBreak/>
        <w:t xml:space="preserve">barevných odstínů. Pracovníci firmy nanášející nátěr jsou povinni do stavebního deníku denně uvádět popis klimatických podmínek, teplotu a relativní vlhkost. </w:t>
      </w:r>
    </w:p>
    <w:p w14:paraId="1DAC8EB5" w14:textId="77777777" w:rsidR="00B95378" w:rsidRPr="00AB7CC7" w:rsidRDefault="00B95378" w:rsidP="00B95378">
      <w:r w:rsidRPr="00AB7CC7">
        <w:t xml:space="preserve">Plochy s nátěrem narušeným svařováním musí být po skončení svářečských prací opatřeny nátěrovým systémem shodným s původním. </w:t>
      </w:r>
    </w:p>
    <w:p w14:paraId="7FEB6E52" w14:textId="77777777" w:rsidR="00B95378" w:rsidRPr="00AB7CC7" w:rsidRDefault="00B95378" w:rsidP="00B95378">
      <w:r w:rsidRPr="00AB7CC7">
        <w:t xml:space="preserve">Hotové nátěry musí mít jednotný vzhled a lesk podle původní specifikace, bez kapiček, trhlin a dalších defektů. Nátěr nesmí být znečištěn prachem nebo jinými mechanickými nečistotami. </w:t>
      </w:r>
    </w:p>
    <w:p w14:paraId="05F44551" w14:textId="77777777" w:rsidR="00287881" w:rsidRPr="00AB7CC7" w:rsidRDefault="00287881" w:rsidP="00287881">
      <w:pPr>
        <w:pStyle w:val="Nadpis1"/>
        <w:spacing w:before="240"/>
        <w:ind w:left="567" w:hanging="567"/>
      </w:pPr>
      <w:r w:rsidRPr="00AB7CC7">
        <w:t>montáž zařízení</w:t>
      </w:r>
    </w:p>
    <w:p w14:paraId="0713DBEB" w14:textId="77777777" w:rsidR="00287881" w:rsidRPr="00AB7CC7" w:rsidRDefault="00287881" w:rsidP="00287881">
      <w:pPr>
        <w:pStyle w:val="Nadpis2"/>
      </w:pPr>
      <w:r w:rsidRPr="00AB7CC7">
        <w:t>Zdroj tepla</w:t>
      </w:r>
    </w:p>
    <w:p w14:paraId="1FE86F49" w14:textId="77777777" w:rsidR="00287881" w:rsidRPr="00AB7CC7" w:rsidRDefault="00287881" w:rsidP="00287881">
      <w:pPr>
        <w:rPr>
          <w:rFonts w:ascii="Calibri" w:hAnsi="Calibri" w:cs="Calibri"/>
        </w:rPr>
      </w:pPr>
      <w:r w:rsidRPr="00AB7CC7">
        <w:t>Kotel smí instalovat pouze servisní firma s platným oprávněním provádět montáž</w:t>
      </w:r>
      <w:r w:rsidRPr="00AB7CC7">
        <w:rPr>
          <w:rFonts w:ascii="Calibri" w:hAnsi="Calibri" w:cs="Calibri"/>
        </w:rPr>
        <w:t>e a opravy plynových spotřebičů. Kotel smí obsluhovat pouze osoby seznámené s funkcí kotle a jeho ovládáním. Seznámení s funkcí je povinen provést po uvedení do provozu servisní mechanik.</w:t>
      </w:r>
    </w:p>
    <w:p w14:paraId="3301FDBD" w14:textId="77777777" w:rsidR="00287881" w:rsidRPr="00AB7CC7" w:rsidRDefault="00287881" w:rsidP="00287881">
      <w:pPr>
        <w:pStyle w:val="Nadpis2"/>
      </w:pPr>
      <w:r w:rsidRPr="00AB7CC7">
        <w:t>Otopná soustava</w:t>
      </w:r>
    </w:p>
    <w:p w14:paraId="6E701AAB" w14:textId="77777777" w:rsidR="00287881" w:rsidRPr="00AB7CC7" w:rsidRDefault="00287881" w:rsidP="00287881">
      <w:r w:rsidRPr="00AB7CC7">
        <w:t xml:space="preserve">Veškeré montážní práce mohou provádět pouze osoby (fyzické i právnické) s odpovídající kvalifikací. Pro bezproblémový chod otopné soustavy je potřeba zajistit zejména tyto parametry: </w:t>
      </w:r>
    </w:p>
    <w:p w14:paraId="5DBBF83F" w14:textId="77777777" w:rsidR="00287881" w:rsidRPr="00AB7CC7" w:rsidRDefault="00287881" w:rsidP="00287881">
      <w:r w:rsidRPr="00AB7CC7">
        <w:t xml:space="preserve">Kvalita napouštěcí a oběhové </w:t>
      </w:r>
      <w:r w:rsidR="00DC5626" w:rsidRPr="00AB7CC7">
        <w:t>vody – Platná</w:t>
      </w:r>
      <w:r w:rsidRPr="00AB7CC7">
        <w:t xml:space="preserve"> norma zabývající se kvalitou vody ČSN 07 7401 je závazná pro teplovodní systémy do </w:t>
      </w:r>
      <w:r w:rsidR="00DC5626" w:rsidRPr="00AB7CC7">
        <w:t>115 °C</w:t>
      </w:r>
      <w:r w:rsidRPr="00AB7CC7">
        <w:t xml:space="preserve"> o jmenovitém výkonu vyšším než 60 kW.</w:t>
      </w:r>
    </w:p>
    <w:p w14:paraId="0F2F78E8" w14:textId="77777777" w:rsidR="00287881" w:rsidRPr="00AB7CC7" w:rsidRDefault="00287881" w:rsidP="00287881">
      <w:r w:rsidRPr="00AB7CC7">
        <w:t xml:space="preserve">Nastavení parametrů tlakové expanzní </w:t>
      </w:r>
      <w:r w:rsidR="00DC5626" w:rsidRPr="00AB7CC7">
        <w:t>nádoby – Zvolený</w:t>
      </w:r>
      <w:r w:rsidRPr="00AB7CC7">
        <w:t xml:space="preserve"> objem a tlakové parametry expanzní nádoby jsou důležité pro dlouhodobý bezporuchový provoz otopné soustavy. Tlakové parametry by měl uživatel kontrolovat 1x ročně.</w:t>
      </w:r>
    </w:p>
    <w:p w14:paraId="2B3E24F7" w14:textId="77777777" w:rsidR="00287881" w:rsidRPr="00AB7CC7" w:rsidRDefault="00287881" w:rsidP="00287881">
      <w:r w:rsidRPr="00AB7CC7">
        <w:t xml:space="preserve">Odvzdušnění topné </w:t>
      </w:r>
      <w:r w:rsidR="00DC5626" w:rsidRPr="00AB7CC7">
        <w:t>soustavy – Odvzdušňování</w:t>
      </w:r>
      <w:r w:rsidRPr="00AB7CC7">
        <w:t xml:space="preserve"> je proces, který opakujeme při plnění, zprovoznění a vlastním provozování topné soustavy.</w:t>
      </w:r>
    </w:p>
    <w:p w14:paraId="0A1CD28E" w14:textId="77777777" w:rsidR="00287881" w:rsidRPr="00AB7CC7" w:rsidRDefault="00287881" w:rsidP="00287881">
      <w:r w:rsidRPr="00AB7CC7">
        <w:t xml:space="preserve">Provoz topné </w:t>
      </w:r>
      <w:r w:rsidR="00DC5626" w:rsidRPr="00AB7CC7">
        <w:t>soustavy – První</w:t>
      </w:r>
      <w:r w:rsidRPr="00AB7CC7">
        <w:t xml:space="preserve"> sezóna provozu se zpravidla spojí s topnou zkouškou a se zaregulováním celé soustavy. Během topné sezóny by se mělo také:</w:t>
      </w:r>
    </w:p>
    <w:p w14:paraId="0EC63541" w14:textId="77777777" w:rsidR="00287881" w:rsidRPr="00AB7CC7" w:rsidRDefault="00287881" w:rsidP="00287881">
      <w:pPr>
        <w:pStyle w:val="Odstavecseseznamem"/>
        <w:numPr>
          <w:ilvl w:val="0"/>
          <w:numId w:val="6"/>
        </w:numPr>
        <w:tabs>
          <w:tab w:val="left" w:pos="996"/>
        </w:tabs>
      </w:pPr>
      <w:r w:rsidRPr="00AB7CC7">
        <w:t>kontrolovat těsnost topného systému, závady neřešit doplňováním ztrátové vody</w:t>
      </w:r>
    </w:p>
    <w:p w14:paraId="64F5C3C5" w14:textId="77777777" w:rsidR="00287881" w:rsidRPr="00AB7CC7" w:rsidRDefault="00287881" w:rsidP="00287881">
      <w:pPr>
        <w:pStyle w:val="Odstavecseseznamem"/>
        <w:numPr>
          <w:ilvl w:val="0"/>
          <w:numId w:val="6"/>
        </w:numPr>
        <w:tabs>
          <w:tab w:val="left" w:pos="996"/>
        </w:tabs>
      </w:pPr>
      <w:r w:rsidRPr="00AB7CC7">
        <w:t>kontrolovat stav zanesení filtrů a dle potřeby filtry vyčistit</w:t>
      </w:r>
    </w:p>
    <w:p w14:paraId="43644F82" w14:textId="77777777" w:rsidR="00287881" w:rsidRPr="00AB7CC7" w:rsidRDefault="00287881" w:rsidP="00287881">
      <w:pPr>
        <w:pStyle w:val="Odstavecseseznamem"/>
        <w:numPr>
          <w:ilvl w:val="0"/>
          <w:numId w:val="6"/>
        </w:numPr>
        <w:tabs>
          <w:tab w:val="left" w:pos="996"/>
        </w:tabs>
      </w:pPr>
      <w:r w:rsidRPr="00AB7CC7">
        <w:t>systém vypouštět jen v případě nutných oprav a ponechat nenaplněný jen co nejkratší dobu</w:t>
      </w:r>
    </w:p>
    <w:p w14:paraId="7A4AFA20" w14:textId="77777777" w:rsidR="00287881" w:rsidRPr="00AB7CC7" w:rsidRDefault="00287881" w:rsidP="00287881">
      <w:pPr>
        <w:pStyle w:val="Odstavecseseznamem"/>
        <w:numPr>
          <w:ilvl w:val="0"/>
          <w:numId w:val="6"/>
        </w:numPr>
        <w:tabs>
          <w:tab w:val="left" w:pos="996"/>
        </w:tabs>
      </w:pPr>
      <w:r w:rsidRPr="00AB7CC7">
        <w:t>pravidelně kontrolovat a udržovat jednotlivé prvky (čerpadlo, kotel, regulační prvky, expanzní nádoba) dle příslušného návodu k použití</w:t>
      </w:r>
    </w:p>
    <w:p w14:paraId="296A9DE7" w14:textId="77777777" w:rsidR="00287881" w:rsidRPr="00AB7CC7" w:rsidRDefault="00287881" w:rsidP="00287881">
      <w:pPr>
        <w:pStyle w:val="Odstavecseseznamem"/>
        <w:numPr>
          <w:ilvl w:val="0"/>
          <w:numId w:val="6"/>
        </w:numPr>
        <w:tabs>
          <w:tab w:val="left" w:pos="996"/>
        </w:tabs>
      </w:pPr>
      <w:r w:rsidRPr="00AB7CC7">
        <w:t>při zahájení každé topné sezóny kontrolovat kvalitu oběhové vody a dle potřeby doplnit příslušné chemické prostředky</w:t>
      </w:r>
    </w:p>
    <w:p w14:paraId="7A387F8E" w14:textId="77777777" w:rsidR="00287881" w:rsidRPr="00AB7CC7" w:rsidRDefault="00287881" w:rsidP="00287881">
      <w:r w:rsidRPr="00AB7CC7">
        <w:t xml:space="preserve">Přesné pokyny na údržbu a provoz </w:t>
      </w:r>
      <w:r w:rsidR="009156C7" w:rsidRPr="00AB7CC7">
        <w:t>zdroje tepla</w:t>
      </w:r>
      <w:r w:rsidRPr="00AB7CC7">
        <w:t xml:space="preserve"> a otopné soustavy jsou obsaženy v návodech a pokynech pro obsluhu zařízení, jejichž vypracování je povinností zhotovitele zařízení, včetně zaškolení obsluhy.</w:t>
      </w:r>
    </w:p>
    <w:p w14:paraId="64826637" w14:textId="77777777" w:rsidR="00993F15" w:rsidRPr="00AB7CC7" w:rsidRDefault="00993F15" w:rsidP="00993F15">
      <w:pPr>
        <w:pStyle w:val="Nadpis1"/>
        <w:spacing w:before="240"/>
        <w:ind w:left="567" w:hanging="567"/>
      </w:pPr>
      <w:r w:rsidRPr="00AB7CC7">
        <w:lastRenderedPageBreak/>
        <w:t>Zkoušky ústředního vytápění</w:t>
      </w:r>
    </w:p>
    <w:p w14:paraId="79984117" w14:textId="77777777" w:rsidR="00993F15" w:rsidRPr="00AB7CC7" w:rsidRDefault="00993F15" w:rsidP="00993F15">
      <w:r w:rsidRPr="00AB7CC7">
        <w:t xml:space="preserve">Každé smontované zařízení musí být před uvedením do provozu vyzkoušeno. </w:t>
      </w:r>
    </w:p>
    <w:p w14:paraId="61060BE2" w14:textId="77777777" w:rsidR="00993F15" w:rsidRPr="00AB7CC7" w:rsidRDefault="00993F15" w:rsidP="00993F15">
      <w:r w:rsidRPr="00AB7CC7">
        <w:t xml:space="preserve">Před vyzkoušením a uvedením do provozu musí být každé zařízení propláchnuto. Propláchnutí se provádí při demontovaných škrtících clonkách, vodoměrech, měřičích spotřebovaného tepla a dalších zařízení, u kterých by shromážděné nečistoty mohly vést k jejich poškození. </w:t>
      </w:r>
    </w:p>
    <w:p w14:paraId="4002D91C" w14:textId="77777777" w:rsidR="00993F15" w:rsidRPr="00AB7CC7" w:rsidRDefault="00993F15" w:rsidP="00993F15">
      <w:r w:rsidRPr="00AB7CC7">
        <w:t xml:space="preserve">Seřizovací armatury na větvích a stoupačkách a armatury na otopných tělesech se doporučuje nastavit při proplachování na minimální hydraulický odpor. </w:t>
      </w:r>
    </w:p>
    <w:p w14:paraId="484FD240" w14:textId="77777777" w:rsidR="00993F15" w:rsidRPr="00AB7CC7" w:rsidRDefault="00993F15" w:rsidP="00993F15">
      <w:r w:rsidRPr="00AB7CC7">
        <w:t xml:space="preserve">Propláchnutí se provádí při </w:t>
      </w:r>
      <w:proofErr w:type="gramStart"/>
      <w:r w:rsidRPr="00AB7CC7">
        <w:t>24 hodinovém</w:t>
      </w:r>
      <w:proofErr w:type="gramEnd"/>
      <w:r w:rsidRPr="00AB7CC7">
        <w:t xml:space="preserve"> provozu oběhových čerpadel. Na všech k tomu určených místech (vypouštění, filtry, odkalovací nádoby apod.) je nutno pravidelně odkalovat až do úplně čistého stavu. </w:t>
      </w:r>
    </w:p>
    <w:p w14:paraId="3941BB3D" w14:textId="77777777" w:rsidR="00993F15" w:rsidRPr="00AB7CC7" w:rsidRDefault="00993F15" w:rsidP="00993F15">
      <w:r w:rsidRPr="00AB7CC7">
        <w:t>Před uvedením do provozu se musí zabudovat demontované prvky, provést nastavení seřizovacích armatur a armatur na otopných tělesech a naplnit zařízení vodou podle ČSN 07 7401 nebo ČSN 38 3350.</w:t>
      </w:r>
    </w:p>
    <w:p w14:paraId="29B8F2C5" w14:textId="77777777" w:rsidR="00993F15" w:rsidRPr="00AB7CC7" w:rsidRDefault="00993F15" w:rsidP="00993F15">
      <w:r w:rsidRPr="00AB7CC7">
        <w:t>Vyčištění a propláchnutí soustavy je součásti montáže a o jeho provedení má být proveden zápis.</w:t>
      </w:r>
    </w:p>
    <w:p w14:paraId="374640B7" w14:textId="77777777" w:rsidR="00993F15" w:rsidRPr="00AB7CC7" w:rsidRDefault="00993F15" w:rsidP="00993F15">
      <w:r w:rsidRPr="00AB7CC7">
        <w:t>Druhy zkoušek ústředního vytápění:</w:t>
      </w:r>
    </w:p>
    <w:p w14:paraId="1D2D7B75" w14:textId="77777777" w:rsidR="00993F15" w:rsidRPr="00AB7CC7" w:rsidRDefault="00993F15" w:rsidP="00993F15">
      <w:r w:rsidRPr="00AB7CC7">
        <w:t>- zkouška těsnosti</w:t>
      </w:r>
    </w:p>
    <w:p w14:paraId="74E5FC36" w14:textId="77777777" w:rsidR="00993F15" w:rsidRPr="00AB7CC7" w:rsidRDefault="00993F15" w:rsidP="00993F15">
      <w:r w:rsidRPr="00AB7CC7">
        <w:t>- zkoušky provozní</w:t>
      </w:r>
    </w:p>
    <w:p w14:paraId="3609931D" w14:textId="77777777" w:rsidR="00993F15" w:rsidRPr="00AB7CC7" w:rsidRDefault="00993F15" w:rsidP="00993F15">
      <w:r w:rsidRPr="00AB7CC7">
        <w:t>Provozní zkoušky lze provádět pouze po úspěšně vykonané zkoušce těsnosti.</w:t>
      </w:r>
    </w:p>
    <w:p w14:paraId="285D7DCD" w14:textId="77777777" w:rsidR="00993F15" w:rsidRPr="00AB7CC7" w:rsidRDefault="00993F15" w:rsidP="00993F15">
      <w:r w:rsidRPr="00AB7CC7">
        <w:t>Zkoušky těsnosti a provozní jsou součástí dodávky dodavatele tepelné soustavy.</w:t>
      </w:r>
    </w:p>
    <w:p w14:paraId="25AFF924" w14:textId="77777777" w:rsidR="00993F15" w:rsidRPr="00AB7CC7" w:rsidRDefault="00993F15" w:rsidP="00993F15">
      <w:pPr>
        <w:pStyle w:val="Nadpis2"/>
      </w:pPr>
      <w:r w:rsidRPr="00AB7CC7">
        <w:t>Zkouška těsnosti</w:t>
      </w:r>
    </w:p>
    <w:p w14:paraId="6AF5A17C" w14:textId="77777777" w:rsidR="00993F15" w:rsidRPr="00AB7CC7" w:rsidRDefault="00993F15" w:rsidP="00993F15">
      <w:r w:rsidRPr="00AB7CC7">
        <w:t>Zkoušky těsnosti se provádějí před zazděním drážek, zakrytím kanálů a provedením nátěrů a izolaci.</w:t>
      </w:r>
    </w:p>
    <w:p w14:paraId="6C40EFDB" w14:textId="77777777" w:rsidR="00993F15" w:rsidRPr="00AB7CC7" w:rsidRDefault="00993F15" w:rsidP="00993F15">
      <w:r w:rsidRPr="00AB7CC7">
        <w:rPr>
          <w:b/>
        </w:rPr>
        <w:t xml:space="preserve">Vodní tepelné soustavy: </w:t>
      </w:r>
      <w:r w:rsidRPr="00AB7CC7">
        <w:t>se zkoušejí vodou na nejvyšší dovolený přetlak určený v projektu pro danou část zařízení.</w:t>
      </w:r>
    </w:p>
    <w:p w14:paraId="123E8E49" w14:textId="77777777" w:rsidR="00993F15" w:rsidRPr="00AB7CC7" w:rsidRDefault="00993F15" w:rsidP="00993F15">
      <w:r w:rsidRPr="00AB7CC7">
        <w:t>Soustava se naplní vodou, řádně se odvzdušní a celé zařízení (všechny spoje, otopná tělesa, armatury atd.) se prohlédne, přičemž se nesmějí projevovat viditelné netěsnosti. Soustava zůstane napuštěna nejméně 6 hodin, po kterých se provede nová prohlídka. Výsledek zkoušky se považuje za úspěšný, neobjeví-li se při této prohlídce netěsnosti anebo neprojeví-li se znatelný pokles hladiny v expanzní nádobě.</w:t>
      </w:r>
    </w:p>
    <w:p w14:paraId="04E54563" w14:textId="77777777" w:rsidR="00993F15" w:rsidRPr="00AB7CC7" w:rsidRDefault="00993F15" w:rsidP="00993F15">
      <w:r w:rsidRPr="00AB7CC7">
        <w:rPr>
          <w:b/>
        </w:rPr>
        <w:t xml:space="preserve">Zdroje tepla, výměníky a ohřívače: </w:t>
      </w:r>
      <w:r w:rsidRPr="00AB7CC7">
        <w:t>zkouší výrobce a podmínky zkoušky uvádí v průvodní dokumentaci výrobku.</w:t>
      </w:r>
    </w:p>
    <w:p w14:paraId="6AA3A9A6" w14:textId="77777777" w:rsidR="00993F15" w:rsidRPr="00AB7CC7" w:rsidRDefault="00993F15" w:rsidP="00993F15">
      <w:r w:rsidRPr="00AB7CC7">
        <w:rPr>
          <w:b/>
        </w:rPr>
        <w:t>Vnitřní potrubní rozvody:</w:t>
      </w:r>
      <w:r w:rsidRPr="00AB7CC7">
        <w:t xml:space="preserve"> uložené na nekontrolovatelných místech se zkoušejí tak, že po napuštění dané části vodou se dosáhne zkušební přetlak, který se nárazově sníží na atmosférický tlak. Po novém dosažení zkušebního přetlaku se prohlédne zkoušená část potrubních rozvodů a nesmí se projevit viditelné netěsnosti.</w:t>
      </w:r>
    </w:p>
    <w:p w14:paraId="23B03879" w14:textId="77777777" w:rsidR="00993F15" w:rsidRPr="00AB7CC7" w:rsidRDefault="00993F15" w:rsidP="00993F15">
      <w:r w:rsidRPr="00AB7CC7">
        <w:t xml:space="preserve">Přetlak se udržuje po dobu 30 minut. Výsledek zkoušky se považuje za vyhovující, jestliže </w:t>
      </w:r>
      <w:r w:rsidRPr="00AB7CC7">
        <w:lastRenderedPageBreak/>
        <w:t>se při této prohlídce neobjeví netěsnosti.</w:t>
      </w:r>
    </w:p>
    <w:p w14:paraId="3A733467" w14:textId="77777777" w:rsidR="00993F15" w:rsidRPr="00AB7CC7" w:rsidRDefault="00993F15" w:rsidP="00993F15">
      <w:r w:rsidRPr="00AB7CC7">
        <w:t>Pokud se objeví při tlakové zkoušce netěsnosti, musí se odstranit a tlaková zkouška se opakuje.</w:t>
      </w:r>
    </w:p>
    <w:p w14:paraId="70AE20F7" w14:textId="77777777" w:rsidR="00993F15" w:rsidRPr="00AB7CC7" w:rsidRDefault="00993F15" w:rsidP="00993F15">
      <w:r w:rsidRPr="00AB7CC7">
        <w:t>Horizontální otopné soustavy se zkouší před montáží příček daného podlaží.</w:t>
      </w:r>
    </w:p>
    <w:p w14:paraId="6333A3DB" w14:textId="77777777" w:rsidR="00993F15" w:rsidRPr="00AB7CC7" w:rsidRDefault="00993F15" w:rsidP="00993F15">
      <w:r w:rsidRPr="00AB7CC7">
        <w:t>Po skončení montáže tepelných soustav v celém objektu se provede ještě tlaková zkouška těsnosti, při které se odzkoušejí všechny v předcházejících zkouškách neodzkoušené části zařízení.</w:t>
      </w:r>
    </w:p>
    <w:p w14:paraId="4F21F9C6" w14:textId="77777777" w:rsidR="00993F15" w:rsidRPr="00AB7CC7" w:rsidRDefault="00993F15" w:rsidP="00993F15">
      <w:r w:rsidRPr="00AB7CC7">
        <w:t>Zkušební přetlak se volí pro ocelové potrubí 0,9 MPa, pro jiná potrubí jej určí dodavatel potrubí.</w:t>
      </w:r>
    </w:p>
    <w:p w14:paraId="65780C60" w14:textId="77777777" w:rsidR="00993F15" w:rsidRPr="00AB7CC7" w:rsidRDefault="00993F15" w:rsidP="00993F15">
      <w:r w:rsidRPr="00AB7CC7">
        <w:t>Voda ke zkoušce těsnosti nesmí být teplejší než 50 °C.</w:t>
      </w:r>
    </w:p>
    <w:p w14:paraId="497FAAD9" w14:textId="77777777" w:rsidR="00993F15" w:rsidRPr="00AB7CC7" w:rsidRDefault="00993F15" w:rsidP="00993F15">
      <w:r w:rsidRPr="00AB7CC7">
        <w:t>Zkoušky se provádějí za účasti zástupce investora a musí být potvrzeny protokolem o zkoušce.</w:t>
      </w:r>
    </w:p>
    <w:p w14:paraId="41CA16DB" w14:textId="77777777" w:rsidR="00993F15" w:rsidRPr="00AB7CC7" w:rsidRDefault="00993F15" w:rsidP="00993F15">
      <w:pPr>
        <w:pStyle w:val="Nadpis2"/>
      </w:pPr>
      <w:r w:rsidRPr="00AB7CC7">
        <w:t>Provozní zkoušky</w:t>
      </w:r>
    </w:p>
    <w:p w14:paraId="00DBA91A" w14:textId="77777777" w:rsidR="00993F15" w:rsidRPr="00AB7CC7" w:rsidRDefault="00993F15" w:rsidP="00993F15">
      <w:r w:rsidRPr="00AB7CC7">
        <w:t>Provozní zkoušky se dělí na zkoušky:</w:t>
      </w:r>
    </w:p>
    <w:p w14:paraId="05F3003F" w14:textId="77777777" w:rsidR="00993F15" w:rsidRPr="00AB7CC7" w:rsidRDefault="00993F15" w:rsidP="00993F15">
      <w:r w:rsidRPr="00AB7CC7">
        <w:t>- dilatační</w:t>
      </w:r>
    </w:p>
    <w:p w14:paraId="565D3466" w14:textId="77777777" w:rsidR="00993F15" w:rsidRPr="00AB7CC7" w:rsidRDefault="00993F15" w:rsidP="00993F15">
      <w:r w:rsidRPr="00AB7CC7">
        <w:t>- topné</w:t>
      </w:r>
    </w:p>
    <w:p w14:paraId="50B00547" w14:textId="77777777" w:rsidR="00993F15" w:rsidRPr="00AB7CC7" w:rsidRDefault="00993F15" w:rsidP="00993F15">
      <w:r w:rsidRPr="00AB7CC7">
        <w:rPr>
          <w:b/>
        </w:rPr>
        <w:t>Dilatační zkouška</w:t>
      </w:r>
      <w:r w:rsidRPr="00AB7CC7">
        <w:t xml:space="preserve"> se provádí před zazděním drážek, zakrytím kanálů a provedením tepelných izolací. Při této zkoušce se teplonosná látka ohřeje na nejvyšší pracovní teplotu a pak se nechá vychladnout na teplotu okolního vzduchu. Poté se tento postup ještě jednou opakuje. Zjistí-li se pak po podrobné prohlídce netěsnosti zařízení, popř. jiné závady, je nutno zkoušku po provedení opravy opakovat. Tuto zkoušku je možno provést v každé roční době. Výsledek zkoušky se zapíše do stavebního deníku nebo se provede samostatný zápis. Zkouška se provádí za účasti zástupce investora. Možnost upuštění od této zkoušky musí být dohodnuta mezi dodavatelem a odběratelem za předpokladu splnění stanovených podmínek.</w:t>
      </w:r>
    </w:p>
    <w:p w14:paraId="0BC755AE" w14:textId="77777777" w:rsidR="00993F15" w:rsidRPr="00AB7CC7" w:rsidRDefault="00993F15" w:rsidP="00993F15">
      <w:r w:rsidRPr="00AB7CC7">
        <w:t>Topné zkoušky se provádějí za účelem zjištění funkce, nastavení a seřízení zařízení. Kontroluje se zejména:</w:t>
      </w:r>
    </w:p>
    <w:p w14:paraId="792EA25D" w14:textId="77777777" w:rsidR="00993F15" w:rsidRPr="00AB7CC7" w:rsidRDefault="00993F15" w:rsidP="00993F15">
      <w:pPr>
        <w:pStyle w:val="Odstavecseseznamem"/>
        <w:numPr>
          <w:ilvl w:val="0"/>
          <w:numId w:val="4"/>
        </w:numPr>
        <w:tabs>
          <w:tab w:val="left" w:pos="996"/>
        </w:tabs>
      </w:pPr>
      <w:r w:rsidRPr="00AB7CC7">
        <w:t>správná funkce armatur</w:t>
      </w:r>
    </w:p>
    <w:p w14:paraId="0D17C5CB" w14:textId="77777777" w:rsidR="00993F15" w:rsidRPr="00AB7CC7" w:rsidRDefault="00993F15" w:rsidP="00993F15">
      <w:pPr>
        <w:pStyle w:val="Odstavecseseznamem"/>
        <w:numPr>
          <w:ilvl w:val="0"/>
          <w:numId w:val="4"/>
        </w:numPr>
        <w:tabs>
          <w:tab w:val="left" w:pos="996"/>
        </w:tabs>
      </w:pPr>
      <w:r w:rsidRPr="00AB7CC7">
        <w:t>rovnoměrné ohřívání otopných těles</w:t>
      </w:r>
    </w:p>
    <w:p w14:paraId="640BC7E6" w14:textId="77777777" w:rsidR="00993F15" w:rsidRPr="00AB7CC7" w:rsidRDefault="00993F15" w:rsidP="00993F15">
      <w:pPr>
        <w:pStyle w:val="Odstavecseseznamem"/>
        <w:numPr>
          <w:ilvl w:val="0"/>
          <w:numId w:val="4"/>
        </w:numPr>
        <w:tabs>
          <w:tab w:val="left" w:pos="996"/>
        </w:tabs>
      </w:pPr>
      <w:r w:rsidRPr="00AB7CC7">
        <w:t>dosažení technických předpokladů projektu (teploty, tlak, rozdílů teplot atd.)</w:t>
      </w:r>
    </w:p>
    <w:p w14:paraId="3300A383" w14:textId="77777777" w:rsidR="00993F15" w:rsidRPr="00AB7CC7" w:rsidRDefault="00993F15" w:rsidP="00993F15">
      <w:pPr>
        <w:pStyle w:val="Odstavecseseznamem"/>
        <w:numPr>
          <w:ilvl w:val="0"/>
          <w:numId w:val="4"/>
        </w:numPr>
        <w:tabs>
          <w:tab w:val="left" w:pos="996"/>
        </w:tabs>
      </w:pPr>
      <w:r w:rsidRPr="00AB7CC7">
        <w:t xml:space="preserve">správná funkce regulačních a měřicích zařízení </w:t>
      </w:r>
    </w:p>
    <w:p w14:paraId="3A8DB414" w14:textId="77777777" w:rsidR="00993F15" w:rsidRPr="00AB7CC7" w:rsidRDefault="00993F15" w:rsidP="00993F15">
      <w:pPr>
        <w:pStyle w:val="Odstavecseseznamem"/>
        <w:numPr>
          <w:ilvl w:val="0"/>
          <w:numId w:val="4"/>
        </w:numPr>
        <w:tabs>
          <w:tab w:val="left" w:pos="996"/>
        </w:tabs>
      </w:pPr>
      <w:r w:rsidRPr="00AB7CC7">
        <w:t>správná funkce zabezpečovacích zařízení, hav. opatření a poruchových signalizací</w:t>
      </w:r>
    </w:p>
    <w:p w14:paraId="694234C9" w14:textId="77777777" w:rsidR="00993F15" w:rsidRPr="00AB7CC7" w:rsidRDefault="00993F15" w:rsidP="00993F15">
      <w:pPr>
        <w:pStyle w:val="Odstavecseseznamem"/>
        <w:numPr>
          <w:ilvl w:val="0"/>
          <w:numId w:val="4"/>
        </w:numPr>
        <w:tabs>
          <w:tab w:val="left" w:pos="996"/>
        </w:tabs>
      </w:pPr>
      <w:r w:rsidRPr="00AB7CC7">
        <w:t>zda instalované zařízení svým výkonem kryje projektované potřeby tepla</w:t>
      </w:r>
    </w:p>
    <w:p w14:paraId="2BEFF4D6" w14:textId="77777777" w:rsidR="00993F15" w:rsidRPr="00AB7CC7" w:rsidRDefault="00993F15" w:rsidP="00993F15">
      <w:pPr>
        <w:pStyle w:val="Odstavecseseznamem"/>
        <w:numPr>
          <w:ilvl w:val="0"/>
          <w:numId w:val="4"/>
        </w:numPr>
        <w:tabs>
          <w:tab w:val="left" w:pos="996"/>
        </w:tabs>
      </w:pPr>
      <w:r w:rsidRPr="00AB7CC7">
        <w:t xml:space="preserve">nejvyšší výkon zdrojů tepla </w:t>
      </w:r>
    </w:p>
    <w:p w14:paraId="2F908C36" w14:textId="77777777" w:rsidR="00993F15" w:rsidRPr="00AB7CC7" w:rsidRDefault="00993F15" w:rsidP="00993F15">
      <w:pPr>
        <w:pStyle w:val="Odstavecseseznamem"/>
        <w:numPr>
          <w:ilvl w:val="0"/>
          <w:numId w:val="4"/>
        </w:numPr>
        <w:tabs>
          <w:tab w:val="left" w:pos="996"/>
        </w:tabs>
      </w:pPr>
      <w:r w:rsidRPr="00AB7CC7">
        <w:t>výkon zdroje tepla při přípravě teplé vody při maximálním odběru vody podle projektu (odběr vody sledovat alespoň vodoměrem na přívodu s. v. do ohřívačů)</w:t>
      </w:r>
    </w:p>
    <w:p w14:paraId="575FBE9F" w14:textId="77777777" w:rsidR="00993F15" w:rsidRPr="00AB7CC7" w:rsidRDefault="00993F15" w:rsidP="00993F15">
      <w:pPr>
        <w:pStyle w:val="Odstavecseseznamem"/>
        <w:numPr>
          <w:ilvl w:val="0"/>
          <w:numId w:val="4"/>
        </w:numPr>
        <w:tabs>
          <w:tab w:val="left" w:pos="996"/>
        </w:tabs>
      </w:pPr>
      <w:r w:rsidRPr="00AB7CC7">
        <w:t>dosažení projektované účinnosti a ověření emisních limitů</w:t>
      </w:r>
    </w:p>
    <w:p w14:paraId="0F20ACC9" w14:textId="77777777" w:rsidR="00993F15" w:rsidRPr="00303943" w:rsidRDefault="00993F15" w:rsidP="00993F15">
      <w:r w:rsidRPr="00303943">
        <w:t>Tepelné soustavy lze považovat za způsobilé pro spolehlivý, hospodárný a bezpečný provoz a topnou zkoušku za úspěšnou, jestliže:</w:t>
      </w:r>
    </w:p>
    <w:p w14:paraId="73915862" w14:textId="77777777" w:rsidR="00993F15" w:rsidRPr="00303943" w:rsidRDefault="00993F15" w:rsidP="00993F15">
      <w:pPr>
        <w:pStyle w:val="Odstavecseseznamem"/>
        <w:numPr>
          <w:ilvl w:val="0"/>
          <w:numId w:val="5"/>
        </w:numPr>
        <w:tabs>
          <w:tab w:val="left" w:pos="996"/>
        </w:tabs>
        <w:ind w:left="714" w:hanging="357"/>
      </w:pPr>
      <w:r w:rsidRPr="00303943">
        <w:lastRenderedPageBreak/>
        <w:t>zařízení splňuje požadavky této normy</w:t>
      </w:r>
    </w:p>
    <w:p w14:paraId="29F89EBD" w14:textId="77777777" w:rsidR="00993F15" w:rsidRPr="00303943" w:rsidRDefault="00993F15" w:rsidP="00993F15">
      <w:pPr>
        <w:pStyle w:val="Odstavecseseznamem"/>
        <w:numPr>
          <w:ilvl w:val="0"/>
          <w:numId w:val="5"/>
        </w:numPr>
        <w:tabs>
          <w:tab w:val="left" w:pos="996"/>
        </w:tabs>
        <w:ind w:left="714" w:hanging="357"/>
      </w:pPr>
      <w:r w:rsidRPr="00303943">
        <w:t xml:space="preserve">zařízení splňuje požadavky ČSN 06 0830 Tepelné soustavy v </w:t>
      </w:r>
      <w:r w:rsidR="00DC5626" w:rsidRPr="00303943">
        <w:t>budovách – zabezpečovací</w:t>
      </w:r>
      <w:r w:rsidRPr="00303943">
        <w:t xml:space="preserve"> zařízení</w:t>
      </w:r>
    </w:p>
    <w:p w14:paraId="41EE8B4E" w14:textId="77777777" w:rsidR="00993F15" w:rsidRPr="00303943" w:rsidRDefault="00993F15" w:rsidP="00993F15">
      <w:pPr>
        <w:pStyle w:val="Odstavecseseznamem"/>
        <w:numPr>
          <w:ilvl w:val="0"/>
          <w:numId w:val="5"/>
        </w:numPr>
        <w:tabs>
          <w:tab w:val="left" w:pos="996"/>
        </w:tabs>
      </w:pPr>
      <w:r w:rsidRPr="00303943">
        <w:t>výkon otopných těles zajistí výpočtovou vnitřní teplotu (za předpokladu, že provedení stavebních konstrukcí odpovídá vstupním předpokladům pro výpočet tepelných ztrát z projektu stavby)</w:t>
      </w:r>
    </w:p>
    <w:p w14:paraId="77631696" w14:textId="77777777" w:rsidR="00993F15" w:rsidRPr="00303943" w:rsidRDefault="00993F15" w:rsidP="00993F15">
      <w:pPr>
        <w:pStyle w:val="Odstavecseseznamem"/>
        <w:numPr>
          <w:ilvl w:val="0"/>
          <w:numId w:val="5"/>
        </w:numPr>
        <w:tabs>
          <w:tab w:val="left" w:pos="996"/>
        </w:tabs>
        <w:ind w:left="714" w:hanging="357"/>
      </w:pPr>
      <w:r w:rsidRPr="00303943">
        <w:t>soustava je seřízena podle projektové dokumentace</w:t>
      </w:r>
    </w:p>
    <w:p w14:paraId="2F665DDF" w14:textId="77777777" w:rsidR="00993F15" w:rsidRPr="00303943" w:rsidRDefault="00993F15" w:rsidP="00993F15">
      <w:pPr>
        <w:pStyle w:val="Odstavecseseznamem"/>
        <w:numPr>
          <w:ilvl w:val="0"/>
          <w:numId w:val="5"/>
        </w:numPr>
        <w:tabs>
          <w:tab w:val="left" w:pos="996"/>
        </w:tabs>
        <w:ind w:left="714" w:hanging="357"/>
      </w:pPr>
      <w:r w:rsidRPr="00303943">
        <w:t>v průběhu topné zkoušky byla ověřena funkce automatické regulace, jejíž spolehlivost a regulační schopnost byla ověřena předtím samostatnou zkouškou při simulování všech možných provozních stavů, především havarijních a těch, které nastávají v přechodných měsících při vyšších venkovních teplotách. O průběhu této samostatné zkoušky se sepíše rovněž protokol. V protokolu se musí uvést hodnoty, na které je regulace, signalizace a zejména havarijní zabezpečení nastaveno.</w:t>
      </w:r>
    </w:p>
    <w:p w14:paraId="052C04B7" w14:textId="77777777" w:rsidR="00A451FC" w:rsidRPr="00303943" w:rsidRDefault="00A451FC" w:rsidP="00A451FC">
      <w:r w:rsidRPr="00303943">
        <w:rPr>
          <w:b/>
        </w:rPr>
        <w:t>Topná zkouška u zařízení s výkonem větším než 100 kW</w:t>
      </w:r>
      <w:r w:rsidRPr="00303943">
        <w:t xml:space="preserve"> trvá 72 hodin bez delších provozních přestávek (zpravidla do 60 minut celkem) a v jejím průběhu se dodržují normální provozní podmínky zkoušeného zařízení. U menších zařízení je dovoleno topnou zkoušku zkrátit.</w:t>
      </w:r>
    </w:p>
    <w:p w14:paraId="04BD85A6" w14:textId="77777777" w:rsidR="00A451FC" w:rsidRPr="00303943" w:rsidRDefault="00A451FC" w:rsidP="00A451FC">
      <w:r w:rsidRPr="00303943">
        <w:t>Topnou zkoušku je možno provádět pouze v průběhu otopného období v dokončené etapě stavby (objektu) po odstranění všech stavebních nedostatků. Pokud se zařízení předává mimo otopné období, provede se topná zkouška až v otopném období v termínu podle dohody mezi investorem, provozovatelem a dodavatelem.</w:t>
      </w:r>
    </w:p>
    <w:p w14:paraId="75BCE860" w14:textId="77777777" w:rsidR="00A451FC" w:rsidRPr="00303943" w:rsidRDefault="00A451FC" w:rsidP="00A451FC">
      <w:r w:rsidRPr="00303943">
        <w:t>Součásti topné zkoušky je seřízení soustavy, projeví-li se tato potřeba v průběhu topné zkoušky.</w:t>
      </w:r>
    </w:p>
    <w:p w14:paraId="6B2B981E" w14:textId="77777777" w:rsidR="00A451FC" w:rsidRPr="00303943" w:rsidRDefault="00A451FC" w:rsidP="00A451FC">
      <w:r w:rsidRPr="00303943">
        <w:t>Během topné zkoušky se zaškolí obsluha zařízení, o čemž se provede záznam.</w:t>
      </w:r>
    </w:p>
    <w:p w14:paraId="0277B0D0" w14:textId="77777777" w:rsidR="00A451FC" w:rsidRPr="00303943" w:rsidRDefault="00A451FC" w:rsidP="00A451FC">
      <w:r w:rsidRPr="00303943">
        <w:t>Topné zkoušky se provádějí za účasti zástupce investora, uživatele, dodavatele a projektanta. Po ukončení topné zkoušky se její výsledek zhodnotí a zapíše se do protokolu.</w:t>
      </w:r>
    </w:p>
    <w:p w14:paraId="44C6BD0E" w14:textId="77777777" w:rsidR="00A451FC" w:rsidRPr="00303943" w:rsidRDefault="00A451FC" w:rsidP="00A451FC">
      <w:r w:rsidRPr="00303943">
        <w:t xml:space="preserve">Zjistí-li se během topné zkoušky závady, je nutno topnou zkoušku po jejich odstranění opakovat. </w:t>
      </w:r>
    </w:p>
    <w:p w14:paraId="653A4EF8" w14:textId="77777777" w:rsidR="00F970AF" w:rsidRPr="00303943" w:rsidRDefault="00DC5626" w:rsidP="00DC5626">
      <w:pPr>
        <w:pStyle w:val="Nadpis1"/>
      </w:pPr>
      <w:r w:rsidRPr="00303943">
        <w:t xml:space="preserve"> </w:t>
      </w:r>
      <w:r w:rsidR="00F970AF" w:rsidRPr="00303943">
        <w:t>Požadavky na provádění revizí a kontrol plynového zařízení</w:t>
      </w:r>
    </w:p>
    <w:p w14:paraId="08F45E6F" w14:textId="77777777" w:rsidR="00F970AF" w:rsidRPr="00303943" w:rsidRDefault="00F970AF" w:rsidP="00F970AF">
      <w:r w:rsidRPr="00303943">
        <w:t>Ve lhůtě 1x za rok se provádí kontrola plynového zařízení. Obsahem kontroly je přezkoušení ovladatelnosti armatur, ověření přístupu k hlavnímu uzávěru plynu, plynoměru a všem armaturám, správnosti orientačních a označovacích tabulek. Kontroly plynových zařízení definuje §3 vyhlášky č. 85/1978 Sb. Pravidelná kontrola bývá zpravidla nahrazena provozní revizí v roce jejího provedení.</w:t>
      </w:r>
    </w:p>
    <w:p w14:paraId="21D76FBD" w14:textId="77777777" w:rsidR="00F970AF" w:rsidRPr="00303943" w:rsidRDefault="00F970AF" w:rsidP="00F970AF">
      <w:r w:rsidRPr="00303943">
        <w:t>Kontroly provádí pracovník pověřený provozovatelem plynového zařízení, který je proškolen k obsluze zařízení, ovládá bezpečnostní předpisy a požární řád. Výsledky o kontrole jsou zapsány do provozního deníku s identifikačními údaji provádějícího pracovníka, data a rozsahu kontroly, případných zjištěných závad a návrhů na jejich odstranění.</w:t>
      </w:r>
    </w:p>
    <w:p w14:paraId="60E66DF7" w14:textId="77777777" w:rsidR="00F970AF" w:rsidRPr="00303943" w:rsidRDefault="00F970AF" w:rsidP="00F970AF">
      <w:r w:rsidRPr="00303943">
        <w:t>Revize plynových zařízení rozlišujeme na výchozí a provozní.</w:t>
      </w:r>
    </w:p>
    <w:p w14:paraId="03158170" w14:textId="77777777" w:rsidR="00F970AF" w:rsidRPr="00303943" w:rsidRDefault="00F970AF" w:rsidP="00F970AF">
      <w:r w:rsidRPr="00303943">
        <w:lastRenderedPageBreak/>
        <w:t>Výchozí revize je určena podle §6 vyhlášky 85/1978 Sb. a musí se provést na každém plynovém zařízení před uvedením do provozu. Tuto revizi zajistí dodavatelská organizace a zpravidla bývá součástí dodávky plynového zařízení.</w:t>
      </w:r>
    </w:p>
    <w:p w14:paraId="6B135DF5" w14:textId="77777777" w:rsidR="00F970AF" w:rsidRPr="00303943" w:rsidRDefault="00F970AF" w:rsidP="00F970AF">
      <w:r w:rsidRPr="00303943">
        <w:t xml:space="preserve">Ve lhůtě 1x za 3 roky se provádí provozní revize, která zajišťuje přezkoušení těsnosti spojů v plynovodní soustavě a připojených zařízení. Vyhláška č. 85/1978 Sb. nám předepisuje vykonávat provozní revize dle lhůty uvedené v článku III. technického předpisu ČSN 38 6405, Plynová </w:t>
      </w:r>
      <w:r w:rsidR="00DC5626" w:rsidRPr="00303943">
        <w:t>zařízení – zásady</w:t>
      </w:r>
      <w:r w:rsidRPr="00303943">
        <w:t xml:space="preserve"> provozu.</w:t>
      </w:r>
    </w:p>
    <w:p w14:paraId="610869A7" w14:textId="77777777" w:rsidR="00F970AF" w:rsidRPr="00303943" w:rsidRDefault="00F970AF" w:rsidP="00F970AF">
      <w:r w:rsidRPr="00303943">
        <w:t>Revize a případné zkoušky provádí revizní technik jehož způsobilost byla ověřena organizací státního odborného dozoru (TIČR).</w:t>
      </w:r>
    </w:p>
    <w:p w14:paraId="1ACA20EF" w14:textId="77777777" w:rsidR="00F970AF" w:rsidRPr="00303943" w:rsidRDefault="00F970AF" w:rsidP="00F970AF">
      <w:r w:rsidRPr="00303943">
        <w:t>Vyhláška určuje další případy, kdy je nutné provést provozní revizi:</w:t>
      </w:r>
    </w:p>
    <w:p w14:paraId="575E2E90" w14:textId="77777777" w:rsidR="00F970AF" w:rsidRPr="00303943" w:rsidRDefault="00F970AF" w:rsidP="00F970AF">
      <w:pPr>
        <w:pStyle w:val="Odstavecseseznamem"/>
        <w:numPr>
          <w:ilvl w:val="0"/>
          <w:numId w:val="19"/>
        </w:numPr>
      </w:pPr>
      <w:r w:rsidRPr="00303943">
        <w:t>zařízení je více jak 6 měsíců mimo provoz</w:t>
      </w:r>
    </w:p>
    <w:p w14:paraId="532D3DED" w14:textId="77777777" w:rsidR="00F970AF" w:rsidRPr="00303943" w:rsidRDefault="00F970AF" w:rsidP="00F970AF">
      <w:pPr>
        <w:pStyle w:val="Odstavecseseznamem"/>
        <w:numPr>
          <w:ilvl w:val="0"/>
          <w:numId w:val="19"/>
        </w:numPr>
      </w:pPr>
      <w:r w:rsidRPr="00303943">
        <w:t>po ukončení zkušebního provozu</w:t>
      </w:r>
    </w:p>
    <w:p w14:paraId="09AD915B" w14:textId="77777777" w:rsidR="00F970AF" w:rsidRPr="00303943" w:rsidRDefault="00F970AF" w:rsidP="00F970AF">
      <w:pPr>
        <w:pStyle w:val="Odstavecseseznamem"/>
        <w:numPr>
          <w:ilvl w:val="0"/>
          <w:numId w:val="19"/>
        </w:numPr>
      </w:pPr>
      <w:r w:rsidRPr="00303943">
        <w:t>je provedena generální oprava, nebo zásah, který má celkový vliv na bezpečnost a spolehlivost zařízení</w:t>
      </w:r>
    </w:p>
    <w:p w14:paraId="62AE04E2" w14:textId="77777777" w:rsidR="00F970AF" w:rsidRPr="00303943" w:rsidRDefault="00F970AF" w:rsidP="00F970AF">
      <w:pPr>
        <w:pStyle w:val="Odstavecseseznamem"/>
        <w:numPr>
          <w:ilvl w:val="0"/>
          <w:numId w:val="19"/>
        </w:numPr>
      </w:pPr>
      <w:r w:rsidRPr="00303943">
        <w:t>po nucené odstávce z provozu z důvodu provozní nehody nebo poruchy</w:t>
      </w:r>
    </w:p>
    <w:p w14:paraId="48FE2E1D" w14:textId="77777777" w:rsidR="008F066F" w:rsidRPr="00303943" w:rsidRDefault="008F066F" w:rsidP="008F066F">
      <w:pPr>
        <w:pStyle w:val="Nadpis1"/>
        <w:ind w:left="567" w:hanging="567"/>
      </w:pPr>
      <w:r w:rsidRPr="00303943">
        <w:t>Ochrana životního prostředí</w:t>
      </w:r>
    </w:p>
    <w:p w14:paraId="5A3BEA79" w14:textId="77777777" w:rsidR="008F066F" w:rsidRPr="00303943" w:rsidRDefault="008F066F" w:rsidP="008F066F">
      <w:r w:rsidRPr="00303943">
        <w:t>Výsledek výpočtu množství znečišťujících látek vypouštěných do ovzduší a porovnání s emisními limity.</w:t>
      </w:r>
    </w:p>
    <w:p w14:paraId="479EF8ED" w14:textId="77777777" w:rsidR="008F066F" w:rsidRPr="00303943" w:rsidRDefault="008F066F" w:rsidP="008F066F">
      <w:pPr>
        <w:pStyle w:val="Nadpis2"/>
      </w:pPr>
      <w:r w:rsidRPr="00303943">
        <w:t>Množství vypouštěných znečišťujících látek</w:t>
      </w:r>
    </w:p>
    <w:p w14:paraId="38C07530" w14:textId="77777777" w:rsidR="00002DA9" w:rsidRPr="00303943" w:rsidRDefault="008F066F" w:rsidP="00002DA9">
      <w:r w:rsidRPr="00303943">
        <w:t xml:space="preserve">Plynové kotle během svého provozu budou produkovat emise vznikající spalováním zemního plynu. </w:t>
      </w:r>
    </w:p>
    <w:tbl>
      <w:tblPr>
        <w:tblW w:w="4800" w:type="dxa"/>
        <w:tblInd w:w="55" w:type="dxa"/>
        <w:tblCellMar>
          <w:left w:w="70" w:type="dxa"/>
          <w:right w:w="70" w:type="dxa"/>
        </w:tblCellMar>
        <w:tblLook w:val="04A0" w:firstRow="1" w:lastRow="0" w:firstColumn="1" w:lastColumn="0" w:noHBand="0" w:noVBand="1"/>
      </w:tblPr>
      <w:tblGrid>
        <w:gridCol w:w="2880"/>
        <w:gridCol w:w="960"/>
        <w:gridCol w:w="960"/>
      </w:tblGrid>
      <w:tr w:rsidR="00002DA9" w:rsidRPr="00303943" w14:paraId="589FBDF2" w14:textId="77777777" w:rsidTr="00002DA9">
        <w:trPr>
          <w:trHeight w:val="300"/>
        </w:trPr>
        <w:tc>
          <w:tcPr>
            <w:tcW w:w="2880" w:type="dxa"/>
            <w:tcBorders>
              <w:top w:val="nil"/>
              <w:left w:val="nil"/>
              <w:bottom w:val="nil"/>
              <w:right w:val="nil"/>
            </w:tcBorders>
            <w:shd w:val="clear" w:color="auto" w:fill="auto"/>
            <w:noWrap/>
            <w:vAlign w:val="bottom"/>
            <w:hideMark/>
          </w:tcPr>
          <w:p w14:paraId="4A5C8B27" w14:textId="77777777" w:rsidR="00002DA9" w:rsidRPr="00303943" w:rsidRDefault="00002DA9" w:rsidP="00002DA9">
            <w:pPr>
              <w:widowControl/>
              <w:suppressAutoHyphens w:val="0"/>
              <w:autoSpaceDE/>
              <w:spacing w:after="0" w:line="240" w:lineRule="auto"/>
              <w:ind w:firstLine="0"/>
              <w:jc w:val="left"/>
              <w:rPr>
                <w:rFonts w:ascii="Calibri" w:hAnsi="Calibri" w:cs="Times New Roman"/>
                <w:b/>
                <w:bCs/>
                <w:color w:val="000000"/>
                <w:sz w:val="22"/>
                <w:szCs w:val="22"/>
                <w:lang w:eastAsia="cs-CZ"/>
              </w:rPr>
            </w:pPr>
            <w:r w:rsidRPr="00303943">
              <w:rPr>
                <w:rFonts w:ascii="Calibri" w:hAnsi="Calibri" w:cs="Times New Roman"/>
                <w:b/>
                <w:bCs/>
                <w:color w:val="000000"/>
                <w:sz w:val="22"/>
                <w:szCs w:val="22"/>
                <w:lang w:eastAsia="cs-CZ"/>
              </w:rPr>
              <w:t>Spotřebič spadá do třídy NOx:</w:t>
            </w:r>
          </w:p>
        </w:tc>
        <w:tc>
          <w:tcPr>
            <w:tcW w:w="960" w:type="dxa"/>
            <w:tcBorders>
              <w:top w:val="nil"/>
              <w:left w:val="nil"/>
              <w:bottom w:val="nil"/>
              <w:right w:val="nil"/>
            </w:tcBorders>
            <w:shd w:val="clear" w:color="auto" w:fill="auto"/>
            <w:noWrap/>
            <w:vAlign w:val="bottom"/>
            <w:hideMark/>
          </w:tcPr>
          <w:p w14:paraId="5B533367" w14:textId="77777777" w:rsidR="00002DA9" w:rsidRPr="00303943" w:rsidRDefault="00A451FC" w:rsidP="00002DA9">
            <w:pPr>
              <w:widowControl/>
              <w:suppressAutoHyphens w:val="0"/>
              <w:autoSpaceDE/>
              <w:spacing w:after="0" w:line="240" w:lineRule="auto"/>
              <w:ind w:firstLine="0"/>
              <w:jc w:val="right"/>
              <w:rPr>
                <w:rFonts w:ascii="Calibri" w:hAnsi="Calibri" w:cs="Times New Roman"/>
                <w:b/>
                <w:bCs/>
                <w:color w:val="000000"/>
                <w:sz w:val="22"/>
                <w:szCs w:val="22"/>
                <w:lang w:eastAsia="cs-CZ"/>
              </w:rPr>
            </w:pPr>
            <w:r w:rsidRPr="00303943">
              <w:rPr>
                <w:rFonts w:ascii="Calibri" w:hAnsi="Calibri" w:cs="Times New Roman"/>
                <w:b/>
                <w:bCs/>
                <w:color w:val="000000"/>
                <w:sz w:val="22"/>
                <w:szCs w:val="22"/>
                <w:lang w:eastAsia="cs-CZ"/>
              </w:rPr>
              <w:t>6</w:t>
            </w:r>
          </w:p>
        </w:tc>
        <w:tc>
          <w:tcPr>
            <w:tcW w:w="960" w:type="dxa"/>
            <w:tcBorders>
              <w:top w:val="nil"/>
              <w:left w:val="nil"/>
              <w:bottom w:val="nil"/>
              <w:right w:val="nil"/>
            </w:tcBorders>
            <w:shd w:val="clear" w:color="auto" w:fill="auto"/>
            <w:noWrap/>
            <w:vAlign w:val="bottom"/>
            <w:hideMark/>
          </w:tcPr>
          <w:p w14:paraId="21E7E743" w14:textId="77777777" w:rsidR="00002DA9" w:rsidRPr="00303943" w:rsidRDefault="00002DA9" w:rsidP="00002DA9">
            <w:pPr>
              <w:widowControl/>
              <w:suppressAutoHyphens w:val="0"/>
              <w:autoSpaceDE/>
              <w:spacing w:after="0" w:line="240" w:lineRule="auto"/>
              <w:ind w:firstLine="0"/>
              <w:jc w:val="left"/>
              <w:rPr>
                <w:rFonts w:ascii="Calibri" w:hAnsi="Calibri" w:cs="Times New Roman"/>
                <w:color w:val="000000"/>
                <w:sz w:val="22"/>
                <w:szCs w:val="22"/>
                <w:lang w:eastAsia="cs-CZ"/>
              </w:rPr>
            </w:pPr>
          </w:p>
        </w:tc>
      </w:tr>
    </w:tbl>
    <w:p w14:paraId="0346C722" w14:textId="77777777" w:rsidR="00002DA9" w:rsidRPr="00303943" w:rsidRDefault="00002DA9" w:rsidP="00002DA9"/>
    <w:p w14:paraId="4D520B23" w14:textId="77777777" w:rsidR="00A43AA5" w:rsidRPr="00303943" w:rsidRDefault="00A43AA5" w:rsidP="00A94A6E">
      <w:pPr>
        <w:pStyle w:val="Nadpis2"/>
      </w:pPr>
      <w:r w:rsidRPr="00303943">
        <w:t>Výše hygienických limitů hluku</w:t>
      </w:r>
    </w:p>
    <w:p w14:paraId="5F8228DD" w14:textId="77777777" w:rsidR="007C64DB" w:rsidRPr="00303943" w:rsidRDefault="007C64DB" w:rsidP="007C64DB">
      <w:pPr>
        <w:rPr>
          <w:lang w:eastAsia="cs-CZ"/>
        </w:rPr>
      </w:pPr>
      <w:r w:rsidRPr="00303943">
        <w:rPr>
          <w:lang w:eastAsia="cs-CZ"/>
        </w:rPr>
        <w:t>Hygienické limity pro hluk a vibrace jsou stanoveny v Nařízení vlády č. 272/2011 Sb.</w:t>
      </w:r>
    </w:p>
    <w:p w14:paraId="1F668D64" w14:textId="77777777" w:rsidR="007C64DB" w:rsidRPr="00303943" w:rsidRDefault="007C64DB" w:rsidP="007C64DB">
      <w:pPr>
        <w:rPr>
          <w:lang w:eastAsia="cs-CZ"/>
        </w:rPr>
      </w:pPr>
      <w:r w:rsidRPr="00303943">
        <w:rPr>
          <w:lang w:eastAsia="cs-CZ"/>
        </w:rPr>
        <w:t>Ochrana lidského zdraví před hlukem je zakotvena v </w:t>
      </w:r>
      <w:hyperlink r:id="rId9" w:history="1">
        <w:r w:rsidRPr="00303943">
          <w:rPr>
            <w:lang w:eastAsia="cs-CZ"/>
          </w:rPr>
          <w:t>zákoně č. 258/2000 Sb.</w:t>
        </w:r>
      </w:hyperlink>
      <w:r w:rsidRPr="00303943">
        <w:rPr>
          <w:lang w:eastAsia="cs-CZ"/>
        </w:rPr>
        <w:t>, o ochraně veřejného zdraví, konkrétně v §§ 30-34 tohoto zákona.</w:t>
      </w:r>
    </w:p>
    <w:p w14:paraId="3C4AE668" w14:textId="77777777" w:rsidR="007C64DB" w:rsidRPr="00303943" w:rsidRDefault="007C64DB" w:rsidP="007C64DB">
      <w:pPr>
        <w:rPr>
          <w:lang w:eastAsia="cs-CZ"/>
        </w:rPr>
      </w:pPr>
      <w:r w:rsidRPr="00303943">
        <w:rPr>
          <w:lang w:eastAsia="cs-CZ"/>
        </w:rPr>
        <w:t>Limity pro hluk jsou pak podrobně stanoveny </w:t>
      </w:r>
      <w:hyperlink r:id="rId10" w:history="1">
        <w:r w:rsidRPr="00303943">
          <w:rPr>
            <w:lang w:eastAsia="cs-CZ"/>
          </w:rPr>
          <w:t>nařízením vlády č. 148/2006 Sb.</w:t>
        </w:r>
      </w:hyperlink>
      <w:r w:rsidRPr="00303943">
        <w:rPr>
          <w:lang w:eastAsia="cs-CZ"/>
        </w:rPr>
        <w:t>, o ochraně zdraví před nepříznivými účinky hluku a vibrací.</w:t>
      </w:r>
    </w:p>
    <w:p w14:paraId="2075FCA6" w14:textId="77777777" w:rsidR="007C64DB" w:rsidRPr="00303943" w:rsidRDefault="007C64DB" w:rsidP="007C64DB">
      <w:pPr>
        <w:rPr>
          <w:lang w:eastAsia="cs-CZ"/>
        </w:rPr>
      </w:pPr>
      <w:r w:rsidRPr="00303943">
        <w:rPr>
          <w:lang w:eastAsia="cs-CZ"/>
        </w:rPr>
        <w:t>Základní limity pro venkovní hluk (např. u obytných domů) jsou následující:</w:t>
      </w:r>
    </w:p>
    <w:tbl>
      <w:tblPr>
        <w:tblW w:w="7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389"/>
        <w:gridCol w:w="1783"/>
        <w:gridCol w:w="1763"/>
      </w:tblGrid>
      <w:tr w:rsidR="007C64DB" w:rsidRPr="00303943" w14:paraId="2EE866B6" w14:textId="77777777" w:rsidTr="00405A24">
        <w:tc>
          <w:tcPr>
            <w:tcW w:w="0" w:type="auto"/>
            <w:shd w:val="clear" w:color="auto" w:fill="D9D9D9" w:themeFill="background1" w:themeFillShade="D9"/>
            <w:tcMar>
              <w:top w:w="45" w:type="dxa"/>
              <w:left w:w="45" w:type="dxa"/>
              <w:bottom w:w="45" w:type="dxa"/>
              <w:right w:w="45" w:type="dxa"/>
            </w:tcMar>
            <w:vAlign w:val="bottom"/>
            <w:hideMark/>
          </w:tcPr>
          <w:p w14:paraId="696A301D" w14:textId="77777777" w:rsidR="007C64DB" w:rsidRPr="00303943" w:rsidRDefault="007C64DB" w:rsidP="00405A24">
            <w:pPr>
              <w:widowControl/>
              <w:suppressAutoHyphens w:val="0"/>
              <w:autoSpaceDE/>
              <w:spacing w:after="0" w:line="240" w:lineRule="auto"/>
              <w:ind w:firstLineChars="100" w:firstLine="201"/>
              <w:jc w:val="left"/>
              <w:rPr>
                <w:rFonts w:ascii="Calibri" w:hAnsi="Calibri" w:cs="Times New Roman"/>
                <w:b/>
                <w:bCs/>
                <w:color w:val="000000"/>
                <w:sz w:val="20"/>
                <w:lang w:eastAsia="cs-CZ"/>
              </w:rPr>
            </w:pPr>
            <w:r w:rsidRPr="00303943">
              <w:rPr>
                <w:rFonts w:ascii="Calibri" w:hAnsi="Calibri" w:cs="Times New Roman"/>
                <w:b/>
                <w:bCs/>
                <w:color w:val="000000"/>
                <w:sz w:val="20"/>
                <w:lang w:eastAsia="cs-CZ"/>
              </w:rPr>
              <w:t>Venkovní hluk</w:t>
            </w:r>
          </w:p>
        </w:tc>
        <w:tc>
          <w:tcPr>
            <w:tcW w:w="0" w:type="auto"/>
            <w:shd w:val="clear" w:color="auto" w:fill="D9D9D9" w:themeFill="background1" w:themeFillShade="D9"/>
            <w:tcMar>
              <w:top w:w="45" w:type="dxa"/>
              <w:left w:w="45" w:type="dxa"/>
              <w:bottom w:w="45" w:type="dxa"/>
              <w:right w:w="45" w:type="dxa"/>
            </w:tcMar>
            <w:vAlign w:val="bottom"/>
            <w:hideMark/>
          </w:tcPr>
          <w:p w14:paraId="29C4B123" w14:textId="77777777" w:rsidR="007C64DB" w:rsidRPr="00303943" w:rsidRDefault="007C64DB" w:rsidP="00405A24">
            <w:pPr>
              <w:widowControl/>
              <w:suppressAutoHyphens w:val="0"/>
              <w:autoSpaceDE/>
              <w:spacing w:after="0" w:line="240" w:lineRule="auto"/>
              <w:ind w:firstLineChars="100" w:firstLine="201"/>
              <w:jc w:val="left"/>
              <w:rPr>
                <w:rFonts w:ascii="Calibri" w:hAnsi="Calibri" w:cs="Times New Roman"/>
                <w:b/>
                <w:bCs/>
                <w:color w:val="000000"/>
                <w:sz w:val="20"/>
                <w:lang w:eastAsia="cs-CZ"/>
              </w:rPr>
            </w:pPr>
            <w:r w:rsidRPr="00303943">
              <w:rPr>
                <w:rFonts w:ascii="Calibri" w:hAnsi="Calibri" w:cs="Times New Roman"/>
                <w:b/>
                <w:bCs/>
                <w:color w:val="000000"/>
                <w:sz w:val="20"/>
                <w:lang w:eastAsia="cs-CZ"/>
              </w:rPr>
              <w:t>den (6:00-22:00)</w:t>
            </w:r>
          </w:p>
        </w:tc>
        <w:tc>
          <w:tcPr>
            <w:tcW w:w="0" w:type="auto"/>
            <w:shd w:val="clear" w:color="auto" w:fill="D9D9D9" w:themeFill="background1" w:themeFillShade="D9"/>
            <w:tcMar>
              <w:top w:w="45" w:type="dxa"/>
              <w:left w:w="45" w:type="dxa"/>
              <w:bottom w:w="45" w:type="dxa"/>
              <w:right w:w="45" w:type="dxa"/>
            </w:tcMar>
            <w:vAlign w:val="bottom"/>
            <w:hideMark/>
          </w:tcPr>
          <w:p w14:paraId="79CC5511" w14:textId="77777777" w:rsidR="007C64DB" w:rsidRPr="00303943" w:rsidRDefault="007C64DB" w:rsidP="00405A24">
            <w:pPr>
              <w:widowControl/>
              <w:suppressAutoHyphens w:val="0"/>
              <w:autoSpaceDE/>
              <w:spacing w:after="0" w:line="240" w:lineRule="auto"/>
              <w:ind w:firstLineChars="100" w:firstLine="201"/>
              <w:jc w:val="left"/>
              <w:rPr>
                <w:rFonts w:ascii="Calibri" w:hAnsi="Calibri" w:cs="Times New Roman"/>
                <w:b/>
                <w:bCs/>
                <w:color w:val="000000"/>
                <w:sz w:val="20"/>
                <w:lang w:eastAsia="cs-CZ"/>
              </w:rPr>
            </w:pPr>
            <w:r w:rsidRPr="00303943">
              <w:rPr>
                <w:rFonts w:ascii="Calibri" w:hAnsi="Calibri" w:cs="Times New Roman"/>
                <w:b/>
                <w:bCs/>
                <w:color w:val="000000"/>
                <w:sz w:val="20"/>
                <w:lang w:eastAsia="cs-CZ"/>
              </w:rPr>
              <w:t>noc (22:00-6:00)</w:t>
            </w:r>
          </w:p>
        </w:tc>
      </w:tr>
      <w:tr w:rsidR="007C64DB" w:rsidRPr="00303943" w14:paraId="1D656288" w14:textId="77777777" w:rsidTr="00405A24">
        <w:tc>
          <w:tcPr>
            <w:tcW w:w="0" w:type="auto"/>
            <w:shd w:val="clear" w:color="auto" w:fill="FFFFFF"/>
            <w:tcMar>
              <w:top w:w="45" w:type="dxa"/>
              <w:left w:w="45" w:type="dxa"/>
              <w:bottom w:w="45" w:type="dxa"/>
              <w:right w:w="45" w:type="dxa"/>
            </w:tcMar>
            <w:vAlign w:val="bottom"/>
            <w:hideMark/>
          </w:tcPr>
          <w:p w14:paraId="24B91F92" w14:textId="77777777" w:rsidR="007C64DB" w:rsidRPr="00303943" w:rsidRDefault="007C64DB" w:rsidP="00405A24">
            <w:pPr>
              <w:widowControl/>
              <w:suppressAutoHyphens w:val="0"/>
              <w:autoSpaceDE/>
              <w:spacing w:after="0" w:line="240" w:lineRule="auto"/>
              <w:ind w:firstLineChars="100" w:firstLine="200"/>
              <w:jc w:val="left"/>
              <w:rPr>
                <w:rFonts w:ascii="Calibri" w:hAnsi="Calibri" w:cs="Times New Roman"/>
                <w:bCs/>
                <w:color w:val="000000"/>
                <w:sz w:val="20"/>
                <w:lang w:eastAsia="cs-CZ"/>
              </w:rPr>
            </w:pPr>
            <w:r w:rsidRPr="00303943">
              <w:rPr>
                <w:rFonts w:ascii="Calibri" w:hAnsi="Calibri" w:cs="Times New Roman"/>
                <w:bCs/>
                <w:color w:val="000000"/>
                <w:sz w:val="20"/>
                <w:lang w:eastAsia="cs-CZ"/>
              </w:rPr>
              <w:t>Základní limit – pro hluk jiný, než z dopravy</w:t>
            </w:r>
          </w:p>
        </w:tc>
        <w:tc>
          <w:tcPr>
            <w:tcW w:w="0" w:type="auto"/>
            <w:shd w:val="clear" w:color="auto" w:fill="FFFFFF"/>
            <w:tcMar>
              <w:top w:w="45" w:type="dxa"/>
              <w:left w:w="45" w:type="dxa"/>
              <w:bottom w:w="45" w:type="dxa"/>
              <w:right w:w="45" w:type="dxa"/>
            </w:tcMar>
            <w:vAlign w:val="bottom"/>
            <w:hideMark/>
          </w:tcPr>
          <w:p w14:paraId="6CFCFA81" w14:textId="77777777" w:rsidR="007C64DB" w:rsidRPr="00303943" w:rsidRDefault="007C64DB" w:rsidP="00405A24">
            <w:pPr>
              <w:widowControl/>
              <w:suppressAutoHyphens w:val="0"/>
              <w:autoSpaceDE/>
              <w:spacing w:after="0" w:line="240" w:lineRule="auto"/>
              <w:ind w:firstLineChars="100" w:firstLine="200"/>
              <w:jc w:val="left"/>
              <w:rPr>
                <w:rFonts w:ascii="Calibri" w:hAnsi="Calibri" w:cs="Times New Roman"/>
                <w:bCs/>
                <w:color w:val="000000"/>
                <w:sz w:val="20"/>
                <w:lang w:eastAsia="cs-CZ"/>
              </w:rPr>
            </w:pPr>
            <w:r w:rsidRPr="00303943">
              <w:rPr>
                <w:rFonts w:ascii="Calibri" w:hAnsi="Calibri" w:cs="Times New Roman"/>
                <w:bCs/>
                <w:color w:val="000000"/>
                <w:sz w:val="20"/>
                <w:lang w:eastAsia="cs-CZ"/>
              </w:rPr>
              <w:t>50 dB</w:t>
            </w:r>
          </w:p>
        </w:tc>
        <w:tc>
          <w:tcPr>
            <w:tcW w:w="0" w:type="auto"/>
            <w:shd w:val="clear" w:color="auto" w:fill="FFFFFF"/>
            <w:tcMar>
              <w:top w:w="45" w:type="dxa"/>
              <w:left w:w="45" w:type="dxa"/>
              <w:bottom w:w="45" w:type="dxa"/>
              <w:right w:w="45" w:type="dxa"/>
            </w:tcMar>
            <w:vAlign w:val="bottom"/>
            <w:hideMark/>
          </w:tcPr>
          <w:p w14:paraId="4023183B" w14:textId="77777777" w:rsidR="007C64DB" w:rsidRPr="00303943" w:rsidRDefault="007C64DB" w:rsidP="00405A24">
            <w:pPr>
              <w:widowControl/>
              <w:suppressAutoHyphens w:val="0"/>
              <w:autoSpaceDE/>
              <w:spacing w:after="0" w:line="240" w:lineRule="auto"/>
              <w:ind w:firstLineChars="100" w:firstLine="200"/>
              <w:jc w:val="left"/>
              <w:rPr>
                <w:rFonts w:ascii="Calibri" w:hAnsi="Calibri" w:cs="Times New Roman"/>
                <w:bCs/>
                <w:color w:val="000000"/>
                <w:sz w:val="20"/>
                <w:lang w:eastAsia="cs-CZ"/>
              </w:rPr>
            </w:pPr>
            <w:r w:rsidRPr="00303943">
              <w:rPr>
                <w:rFonts w:ascii="Calibri" w:hAnsi="Calibri" w:cs="Times New Roman"/>
                <w:bCs/>
                <w:color w:val="000000"/>
                <w:sz w:val="20"/>
                <w:lang w:eastAsia="cs-CZ"/>
              </w:rPr>
              <w:t>40 dB</w:t>
            </w:r>
          </w:p>
        </w:tc>
      </w:tr>
    </w:tbl>
    <w:p w14:paraId="5581BFBD" w14:textId="77777777" w:rsidR="00CB1293" w:rsidRPr="00303943" w:rsidRDefault="00CB1293" w:rsidP="00CB1293">
      <w:pPr>
        <w:rPr>
          <w:lang w:eastAsia="cs-CZ"/>
        </w:rPr>
      </w:pPr>
    </w:p>
    <w:p w14:paraId="6DA5A8AC" w14:textId="77777777" w:rsidR="00CB1293" w:rsidRPr="00303943" w:rsidRDefault="00CB1293" w:rsidP="00CB1293">
      <w:pPr>
        <w:rPr>
          <w:lang w:eastAsia="cs-CZ"/>
        </w:rPr>
      </w:pPr>
      <w:r w:rsidRPr="00303943">
        <w:rPr>
          <w:lang w:eastAsia="cs-CZ"/>
        </w:rPr>
        <w:t xml:space="preserve">Stavebník je povinen </w:t>
      </w:r>
      <w:r w:rsidR="0024600A" w:rsidRPr="00303943">
        <w:rPr>
          <w:lang w:eastAsia="cs-CZ"/>
        </w:rPr>
        <w:t>zajistit,</w:t>
      </w:r>
      <w:r w:rsidRPr="00303943">
        <w:rPr>
          <w:lang w:eastAsia="cs-CZ"/>
        </w:rPr>
        <w:t xml:space="preserve"> aby v provozu i v průběhu výstavby nového zdroje tepla nebyly zákonné limity překročeny.</w:t>
      </w:r>
    </w:p>
    <w:p w14:paraId="0744C7B9" w14:textId="77777777" w:rsidR="00CB1293" w:rsidRPr="00303943" w:rsidRDefault="00CB1293" w:rsidP="00CB1293">
      <w:pPr>
        <w:rPr>
          <w:lang w:eastAsia="cs-CZ"/>
        </w:rPr>
      </w:pPr>
      <w:r w:rsidRPr="00303943">
        <w:rPr>
          <w:lang w:eastAsia="cs-CZ"/>
        </w:rPr>
        <w:t>Kotle mají akustický výkon (dle výrobce) Lw = 6</w:t>
      </w:r>
      <w:r w:rsidR="00303943" w:rsidRPr="00303943">
        <w:rPr>
          <w:lang w:eastAsia="cs-CZ"/>
        </w:rPr>
        <w:t>9</w:t>
      </w:r>
      <w:r w:rsidRPr="00303943">
        <w:rPr>
          <w:lang w:eastAsia="cs-CZ"/>
        </w:rPr>
        <w:t xml:space="preserve"> dB</w:t>
      </w:r>
    </w:p>
    <w:p w14:paraId="74AEB3C9" w14:textId="77777777" w:rsidR="008F066F" w:rsidRPr="00303943" w:rsidRDefault="008F066F" w:rsidP="00002DA9">
      <w:pPr>
        <w:pStyle w:val="Nadpis2"/>
        <w:ind w:left="578" w:hanging="578"/>
      </w:pPr>
      <w:r w:rsidRPr="00303943">
        <w:lastRenderedPageBreak/>
        <w:t>Hospodaření s odpady</w:t>
      </w:r>
    </w:p>
    <w:p w14:paraId="6D340CF8" w14:textId="77777777" w:rsidR="008F066F" w:rsidRPr="00303943" w:rsidRDefault="008F066F" w:rsidP="008F066F">
      <w:r w:rsidRPr="00303943">
        <w:t>Při instalaci zařízení i jeho provozu je nutno plnit požadavky na hospodaření s odpady dle zák. 185/2001 Sb. - Zákon o odpadech a o změně některých dalších zákonů.</w:t>
      </w:r>
    </w:p>
    <w:p w14:paraId="00E2761E" w14:textId="77777777" w:rsidR="008F066F" w:rsidRPr="00303943" w:rsidRDefault="008F066F" w:rsidP="008F066F">
      <w:pPr>
        <w:pStyle w:val="Nadpis1"/>
        <w:ind w:left="567" w:hanging="567"/>
      </w:pPr>
      <w:r w:rsidRPr="00303943">
        <w:t xml:space="preserve">Požární bezpečnost </w:t>
      </w:r>
    </w:p>
    <w:p w14:paraId="42C441F6" w14:textId="77777777" w:rsidR="007848AB" w:rsidRDefault="007848AB" w:rsidP="007848AB">
      <w:pPr>
        <w:pStyle w:val="Nadpis2"/>
      </w:pPr>
      <w:r>
        <w:t>Podmínky požární bezpečnosti při svařování (ve smyslu vyhlášky č. 87/2000 Sb.)</w:t>
      </w:r>
    </w:p>
    <w:p w14:paraId="7E23510E" w14:textId="77777777" w:rsidR="007848AB" w:rsidRPr="007848AB" w:rsidRDefault="007848AB" w:rsidP="007848AB">
      <w:r w:rsidRPr="007848AB">
        <w:t>Svařováním se rozumí tepelné spojování, drážkování a tepelné dělení kovových i nekovových materiálů, pokud jsou prováděny otevřeným plamenem, elektrickým obloukem, plazmou, elektrickým odporem, laserem, třením, aluminotermickým svařováním jakož i používáním elektrických pájedel a benzínových pájecích lamp. Předpis se vztahuje jak na právnické a podnikající fyzické osoby a omezeně i na fyzické osoby. </w:t>
      </w:r>
    </w:p>
    <w:p w14:paraId="6626DC00" w14:textId="285253CE" w:rsidR="007848AB" w:rsidRPr="007848AB" w:rsidRDefault="007848AB" w:rsidP="007848AB">
      <w:r w:rsidRPr="007848AB">
        <w:t>Před zahájením činnosti se vyhodnotí podmínky požární bezpečnosti v prostorech, ve kterých se bude svařovat a také v přilehlých prostorech, zda se nejedná o svařování vyžadující zvláštní požárně bezpečnostní opatření. Podmínky požární bezpečnosti stanovené touto vyhláškou se vztahují na svařování provozované právnickými osobami a fyzickými osobami, vykonávajícími podnikatelskou činnost podle zvláštních předpisů. Na ostatní fyzické osoby se podmínky požární bezpečnosti rovněž vztahují jen, pokud není ve vyhlášce stanoveno jinak.  Při tom se hodnotí i požární nebezpečí, které představují hořlavé látky, obsažené ve stavebních konstrukcích (např. stěnách, stropech, přepážkách). Změní-li se podmínky požární bezpečnosti v průběhu svařování, lze v něm pokračovat až po novém vyhodnocení a zajištění odpovídajících základních nebo zvláštních požárně bezpečnostních opatření. </w:t>
      </w:r>
    </w:p>
    <w:p w14:paraId="7BD2CAEE" w14:textId="77777777" w:rsidR="007848AB" w:rsidRPr="007848AB" w:rsidRDefault="007848AB" w:rsidP="007848AB">
      <w:pPr>
        <w:pStyle w:val="Nadpis2"/>
      </w:pPr>
      <w:r w:rsidRPr="007848AB">
        <w:t>Před zahájením svařování se:</w:t>
      </w:r>
    </w:p>
    <w:p w14:paraId="60C011FB" w14:textId="0C003B6B" w:rsidR="007848AB" w:rsidRPr="007848AB" w:rsidRDefault="007848AB" w:rsidP="007848AB">
      <w:pPr>
        <w:pStyle w:val="Odstavecseseznamem"/>
        <w:numPr>
          <w:ilvl w:val="0"/>
          <w:numId w:val="42"/>
        </w:numPr>
        <w:ind w:left="426" w:hanging="284"/>
      </w:pPr>
      <w:r>
        <w:t>S</w:t>
      </w:r>
      <w:r w:rsidRPr="007848AB">
        <w:t>tanoví a vyhodnotí možné požární nebezpečí ve vztahu k druhu svařování, stavu svářečského pracoviště a přilehlých prostorů, použitých zařízení a materiálů a reaguje se na ně v požárně bezpečnostních opatřeních</w:t>
      </w:r>
      <w:r>
        <w:t>.</w:t>
      </w:r>
    </w:p>
    <w:p w14:paraId="437EBE66" w14:textId="24FB296F" w:rsidR="007848AB" w:rsidRPr="007848AB" w:rsidRDefault="007848AB" w:rsidP="007848AB">
      <w:pPr>
        <w:pStyle w:val="Odstavecseseznamem"/>
        <w:numPr>
          <w:ilvl w:val="0"/>
          <w:numId w:val="42"/>
        </w:numPr>
        <w:ind w:left="426" w:hanging="284"/>
      </w:pPr>
      <w:r>
        <w:t>V</w:t>
      </w:r>
      <w:r w:rsidRPr="007848AB">
        <w:t>ymezí oprávnění a povinnosti osob k zajištění požární bezpečnosti při zahájení svařování, v jeho průběhu, při přerušení svařování a po jeho skončení</w:t>
      </w:r>
      <w:r>
        <w:t>.</w:t>
      </w:r>
    </w:p>
    <w:p w14:paraId="705B1E54" w14:textId="08F0C9AA" w:rsidR="007848AB" w:rsidRPr="007848AB" w:rsidRDefault="007848AB" w:rsidP="007848AB">
      <w:pPr>
        <w:pStyle w:val="Odstavecseseznamem"/>
        <w:numPr>
          <w:ilvl w:val="0"/>
          <w:numId w:val="42"/>
        </w:numPr>
        <w:ind w:left="426" w:hanging="284"/>
      </w:pPr>
      <w:r>
        <w:t>S</w:t>
      </w:r>
      <w:r w:rsidRPr="007848AB">
        <w:t>tanoví požadavky na účastníky svařování, vyžadující zvláštní požárně bezpečnostní opatření a na osoby, provádějící požární dohled, včetně intervalů pro výkon tohoto dohledu při přerušení a po skončení svařování, pokud není požární dohled</w:t>
      </w:r>
      <w:r>
        <w:t>.</w:t>
      </w:r>
    </w:p>
    <w:p w14:paraId="72A75D18" w14:textId="476259FF" w:rsidR="007848AB" w:rsidRPr="007848AB" w:rsidRDefault="007848AB" w:rsidP="007848AB">
      <w:pPr>
        <w:pStyle w:val="Odstavecseseznamem"/>
        <w:numPr>
          <w:ilvl w:val="0"/>
          <w:numId w:val="42"/>
        </w:numPr>
        <w:ind w:left="426" w:hanging="284"/>
      </w:pPr>
      <w:r>
        <w:t>S</w:t>
      </w:r>
      <w:r w:rsidRPr="007848AB">
        <w:t>tanoví požadavky pro bezpečný pobyt a pohyb osob včetně zákazů</w:t>
      </w:r>
      <w:r>
        <w:t>.</w:t>
      </w:r>
    </w:p>
    <w:p w14:paraId="19AB672B" w14:textId="13A82A06" w:rsidR="007848AB" w:rsidRPr="007848AB" w:rsidRDefault="007848AB" w:rsidP="007848AB">
      <w:pPr>
        <w:pStyle w:val="Odstavecseseznamem"/>
        <w:numPr>
          <w:ilvl w:val="0"/>
          <w:numId w:val="42"/>
        </w:numPr>
        <w:ind w:left="426" w:hanging="284"/>
      </w:pPr>
      <w:r>
        <w:t>Z</w:t>
      </w:r>
      <w:r w:rsidRPr="007848AB">
        <w:t>abezpečí volné únikové cesty včetně přístupu k</w:t>
      </w:r>
      <w:r>
        <w:t> </w:t>
      </w:r>
      <w:r w:rsidRPr="007848AB">
        <w:t>nim</w:t>
      </w:r>
      <w:r>
        <w:t>.</w:t>
      </w:r>
    </w:p>
    <w:p w14:paraId="5FA1A36D" w14:textId="6335E6E7" w:rsidR="007848AB" w:rsidRPr="007848AB" w:rsidRDefault="007848AB" w:rsidP="007848AB">
      <w:pPr>
        <w:pStyle w:val="Odstavecseseznamem"/>
        <w:numPr>
          <w:ilvl w:val="0"/>
          <w:numId w:val="42"/>
        </w:numPr>
        <w:ind w:left="426" w:hanging="284"/>
      </w:pPr>
      <w:r>
        <w:t>U</w:t>
      </w:r>
      <w:r w:rsidRPr="007848AB">
        <w:t>rčí provozní podmínky technických zařízení a technologického procesu, včetně podmínek případných odstávek zařízení nebo omezení provozu,</w:t>
      </w:r>
    </w:p>
    <w:p w14:paraId="57077F63" w14:textId="5592C2B6" w:rsidR="007848AB" w:rsidRPr="007848AB" w:rsidRDefault="007848AB" w:rsidP="007848AB">
      <w:pPr>
        <w:pStyle w:val="Odstavecseseznamem"/>
        <w:numPr>
          <w:ilvl w:val="0"/>
          <w:numId w:val="42"/>
        </w:numPr>
        <w:ind w:left="426" w:hanging="284"/>
      </w:pPr>
      <w:r>
        <w:t>S</w:t>
      </w:r>
      <w:r w:rsidRPr="007848AB">
        <w:t>tanoví další opatření s ohledem na druh činnosti, případně specifické riziko svářečského pracoviště.</w:t>
      </w:r>
    </w:p>
    <w:p w14:paraId="55AEDD4B" w14:textId="77777777" w:rsidR="007848AB" w:rsidRPr="007848AB" w:rsidRDefault="007848AB" w:rsidP="007848AB">
      <w:pPr>
        <w:pStyle w:val="Nadpis2"/>
      </w:pPr>
      <w:r w:rsidRPr="007848AB">
        <w:t xml:space="preserve">Proti vzniku a šíření požáru nebo vzniku výbuchu s následným požárem na svářečských pracovištích a v přilehlých prostorech se provedou </w:t>
      </w:r>
      <w:r w:rsidRPr="007848AB">
        <w:lastRenderedPageBreak/>
        <w:t>základní požárně bezpečnostní opatření a dle konkrétního nebezpečí též zvláštní požárně bezpečností opatření. S ohledem na dané provozní podmínky se může jednat o jedno nebo více opatření spočívajících zejména:</w:t>
      </w:r>
    </w:p>
    <w:p w14:paraId="306C6867" w14:textId="68505BA0" w:rsidR="007848AB" w:rsidRPr="007848AB" w:rsidRDefault="007848AB" w:rsidP="007848AB">
      <w:pPr>
        <w:pStyle w:val="Odstavecseseznamem"/>
        <w:numPr>
          <w:ilvl w:val="0"/>
          <w:numId w:val="42"/>
        </w:numPr>
        <w:ind w:left="426" w:hanging="284"/>
      </w:pPr>
      <w:r>
        <w:t>V</w:t>
      </w:r>
      <w:r w:rsidRPr="007848AB">
        <w:t xml:space="preserve"> odstranění hořlavých nebo hoření podporujících nebo výbušných látek</w:t>
      </w:r>
      <w:r>
        <w:t>.</w:t>
      </w:r>
    </w:p>
    <w:p w14:paraId="49EE0F4F" w14:textId="54CFCAF1" w:rsidR="007848AB" w:rsidRPr="007848AB" w:rsidRDefault="007848AB" w:rsidP="007848AB">
      <w:pPr>
        <w:pStyle w:val="Odstavecseseznamem"/>
        <w:numPr>
          <w:ilvl w:val="0"/>
          <w:numId w:val="42"/>
        </w:numPr>
        <w:ind w:left="426" w:hanging="284"/>
      </w:pPr>
      <w:r>
        <w:t>V</w:t>
      </w:r>
      <w:r w:rsidRPr="007848AB">
        <w:t xml:space="preserve"> překrytí nebo utěsnění hořlavých látek nehořlavým nebo nesnadno hořlavým materiálem izolujícím hořlavou látku od zdroje zapálení tak, aby nedošlo k vznícení. Při obloukovém svařování lze pro závěsy, pásy nebo zástěny použít materiál, odpovídající požadavkům normových hodnot, a to způsobem a ve vzdálenosti, která bezpečně chrání proti žhavým částicím ze svářečských prací dle určení výrobce nebo dovozce; překrytí se provede tak, aby nedocházelo k nasáknutí hořlavé látky do krycího materiálu</w:t>
      </w:r>
      <w:r>
        <w:t>.</w:t>
      </w:r>
    </w:p>
    <w:p w14:paraId="4CCE2603" w14:textId="56C26383" w:rsidR="007848AB" w:rsidRPr="007848AB" w:rsidRDefault="007848AB" w:rsidP="007848AB">
      <w:pPr>
        <w:pStyle w:val="Odstavecseseznamem"/>
        <w:numPr>
          <w:ilvl w:val="0"/>
          <w:numId w:val="42"/>
        </w:numPr>
        <w:ind w:left="426" w:hanging="284"/>
      </w:pPr>
      <w:r>
        <w:t>V</w:t>
      </w:r>
      <w:r w:rsidRPr="007848AB">
        <w:t xml:space="preserve"> úpravě dopadové plochy nebo krytí dráhy vedení přímého i odraženého laserového záření z laserů třídy 3. B a </w:t>
      </w:r>
      <w:proofErr w:type="gramStart"/>
      <w:r w:rsidRPr="007848AB">
        <w:t>4.</w:t>
      </w:r>
      <w:r>
        <w:t>.</w:t>
      </w:r>
      <w:proofErr w:type="gramEnd"/>
    </w:p>
    <w:p w14:paraId="1B95128A" w14:textId="6413149D" w:rsidR="007848AB" w:rsidRPr="007848AB" w:rsidRDefault="007848AB" w:rsidP="007848AB">
      <w:pPr>
        <w:pStyle w:val="Odstavecseseznamem"/>
        <w:numPr>
          <w:ilvl w:val="0"/>
          <w:numId w:val="42"/>
        </w:numPr>
        <w:ind w:left="426" w:hanging="284"/>
      </w:pPr>
      <w:r>
        <w:t>V</w:t>
      </w:r>
      <w:r w:rsidRPr="007848AB">
        <w:t>e vybavení hasebními prostředky podle charakteru pracoviště a použité technologie svařování</w:t>
      </w:r>
      <w:r>
        <w:t>.</w:t>
      </w:r>
    </w:p>
    <w:p w14:paraId="40F4FC9E" w14:textId="23A15D6B" w:rsidR="007848AB" w:rsidRPr="007848AB" w:rsidRDefault="007848AB" w:rsidP="007848AB">
      <w:pPr>
        <w:pStyle w:val="Odstavecseseznamem"/>
        <w:numPr>
          <w:ilvl w:val="0"/>
          <w:numId w:val="42"/>
        </w:numPr>
        <w:ind w:left="426" w:hanging="284"/>
      </w:pPr>
      <w:r>
        <w:t>V</w:t>
      </w:r>
      <w:r w:rsidRPr="007848AB">
        <w:t xml:space="preserve"> měření koncentrace hořlavých plynů, par hořlavých kapalin a prachů ve směsi se vzduchem nebo jiným oxidovadlem a udržování koncentrace pod hranicí nebezpečné koncentrace</w:t>
      </w:r>
      <w:r>
        <w:t>.</w:t>
      </w:r>
    </w:p>
    <w:p w14:paraId="118C13FD" w14:textId="71CF82ED" w:rsidR="007848AB" w:rsidRPr="007848AB" w:rsidRDefault="007848AB" w:rsidP="007848AB">
      <w:pPr>
        <w:pStyle w:val="Odstavecseseznamem"/>
        <w:numPr>
          <w:ilvl w:val="0"/>
          <w:numId w:val="42"/>
        </w:numPr>
        <w:ind w:left="426" w:hanging="284"/>
      </w:pPr>
      <w:r>
        <w:t>V</w:t>
      </w:r>
      <w:r w:rsidRPr="007848AB">
        <w:t xml:space="preserve"> ochlazování konstrukce</w:t>
      </w:r>
      <w:r>
        <w:t>.</w:t>
      </w:r>
    </w:p>
    <w:p w14:paraId="45E79B8A" w14:textId="59071B98" w:rsidR="007848AB" w:rsidRPr="007848AB" w:rsidRDefault="007848AB" w:rsidP="007848AB">
      <w:pPr>
        <w:pStyle w:val="Odstavecseseznamem"/>
        <w:numPr>
          <w:ilvl w:val="0"/>
          <w:numId w:val="42"/>
        </w:numPr>
        <w:ind w:left="426" w:hanging="284"/>
      </w:pPr>
      <w:r>
        <w:t>V</w:t>
      </w:r>
      <w:r w:rsidRPr="007848AB">
        <w:t xml:space="preserve"> provětrávání pracoviště pro odstranění nebezpečné koncentrace hořlavých plynů, par, prachů</w:t>
      </w:r>
      <w:r>
        <w:t>.</w:t>
      </w:r>
    </w:p>
    <w:p w14:paraId="6146D3AC" w14:textId="77777777" w:rsidR="007848AB" w:rsidRPr="007848AB" w:rsidRDefault="007848AB" w:rsidP="007848AB">
      <w:pPr>
        <w:pStyle w:val="Odstavecseseznamem"/>
        <w:numPr>
          <w:ilvl w:val="0"/>
          <w:numId w:val="42"/>
        </w:numPr>
        <w:ind w:left="426" w:hanging="284"/>
      </w:pPr>
      <w:r w:rsidRPr="007848AB">
        <w:t>v rozmístění technického vybavení proti rozstřiku žhavých částic tak, aby spolehlivě zabraňovala působení jisker, částic kovu i strusky.</w:t>
      </w:r>
    </w:p>
    <w:p w14:paraId="753365D1" w14:textId="77777777" w:rsidR="007848AB" w:rsidRPr="007848AB" w:rsidRDefault="007848AB" w:rsidP="007848AB">
      <w:pPr>
        <w:pStyle w:val="Nadpis2"/>
      </w:pPr>
      <w:r w:rsidRPr="007848AB">
        <w:t>Svařování se nesmí zahájit, jestliže:</w:t>
      </w:r>
    </w:p>
    <w:p w14:paraId="4FD5F830" w14:textId="5F0FAA88" w:rsidR="007848AB" w:rsidRPr="007848AB" w:rsidRDefault="007848AB" w:rsidP="007848AB">
      <w:pPr>
        <w:pStyle w:val="Odstavecseseznamem"/>
        <w:numPr>
          <w:ilvl w:val="0"/>
          <w:numId w:val="42"/>
        </w:numPr>
        <w:ind w:left="426" w:hanging="284"/>
      </w:pPr>
      <w:r>
        <w:t>N</w:t>
      </w:r>
      <w:r w:rsidRPr="007848AB">
        <w:t>ejsou stanovena požárně bezpečností opatření s ohledem na druh a místo těchto prací</w:t>
      </w:r>
      <w:r>
        <w:t>.</w:t>
      </w:r>
    </w:p>
    <w:p w14:paraId="5E9F2D9D" w14:textId="20D67F54" w:rsidR="007848AB" w:rsidRPr="007848AB" w:rsidRDefault="007848AB" w:rsidP="007848AB">
      <w:pPr>
        <w:pStyle w:val="Odstavecseseznamem"/>
        <w:numPr>
          <w:ilvl w:val="0"/>
          <w:numId w:val="42"/>
        </w:numPr>
        <w:ind w:left="426" w:hanging="284"/>
      </w:pPr>
      <w:r>
        <w:t>S</w:t>
      </w:r>
      <w:r w:rsidRPr="007848AB">
        <w:t>vářeč a pracovníci, zúčastnění na svařování a souvisejících činnostech, nejsou prokazatelně seznámeni s podmínkami požární bezpečnosti</w:t>
      </w:r>
      <w:r>
        <w:t>.</w:t>
      </w:r>
    </w:p>
    <w:p w14:paraId="1BA5DA9F" w14:textId="19485F3E" w:rsidR="007848AB" w:rsidRPr="007848AB" w:rsidRDefault="007848AB" w:rsidP="007848AB">
      <w:pPr>
        <w:pStyle w:val="Odstavecseseznamem"/>
        <w:numPr>
          <w:ilvl w:val="0"/>
          <w:numId w:val="42"/>
        </w:numPr>
        <w:ind w:left="426" w:hanging="284"/>
      </w:pPr>
      <w:r>
        <w:t>N</w:t>
      </w:r>
      <w:r w:rsidRPr="007848AB">
        <w:t>ejsou splněny podmínky požární bezpečnosti</w:t>
      </w:r>
      <w:r>
        <w:t>.</w:t>
      </w:r>
    </w:p>
    <w:p w14:paraId="44C0BF88" w14:textId="147EBC54" w:rsidR="007848AB" w:rsidRPr="007848AB" w:rsidRDefault="007848AB" w:rsidP="007848AB">
      <w:pPr>
        <w:pStyle w:val="Odstavecseseznamem"/>
        <w:numPr>
          <w:ilvl w:val="0"/>
          <w:numId w:val="42"/>
        </w:numPr>
        <w:ind w:left="426" w:hanging="284"/>
      </w:pPr>
      <w:r>
        <w:t>S</w:t>
      </w:r>
      <w:r w:rsidRPr="007848AB">
        <w:t>vářeč na svářečském pracovišti nemůže prokázat svou odbornou způsobilost ke svařování doklady odpovídajícími normovým požadavkům nebo normativním nebo vydanými v rámci oprávnění certifikačního orgánu akreditovaného v České republice; v případě, že není pro určitý druh svařování těmito předpisy odborná způsobilost stanovena, pak oprávněním odpovídajícím návodům výrobce nebo dovozce zařízení.</w:t>
      </w:r>
    </w:p>
    <w:p w14:paraId="31809FF8" w14:textId="77777777" w:rsidR="007848AB" w:rsidRPr="007848AB" w:rsidRDefault="007848AB" w:rsidP="007848AB">
      <w:r w:rsidRPr="007848AB">
        <w:t>Po skončení svařování vyžadujícího zvláštní požárně bezpečnostní opatření se v rámci požárního dohledu zkontroluje požární bezpečnost svářečského pracoviště i přilehlých prostorů a zajistí se požární dohled ve stanovených intervalech. Intervaly se stanoví se zřetelem na základní případně specifické riziko svářečského pracoviště. Nejkratší doba požárního dohledu je 8 hodin. V odůvodněných případech, zejména při tepelném dělení kovů a u členitých prostorů, je třeba při stanovování doby, po kterou je třeba požární dohled provádět, přihlédnout k možnosti vzniku požáru i po 8 hodinách. Vyhláška stanovuje případy, kdy není nutné vykonávat požární dohled po skončení svařování. Takových případů není mnoho.</w:t>
      </w:r>
    </w:p>
    <w:p w14:paraId="6823A208" w14:textId="77777777" w:rsidR="008F066F" w:rsidRPr="00303943" w:rsidRDefault="008F066F" w:rsidP="008F066F">
      <w:pPr>
        <w:pStyle w:val="Nadpis1"/>
        <w:ind w:left="567" w:hanging="567"/>
      </w:pPr>
      <w:r w:rsidRPr="00303943">
        <w:lastRenderedPageBreak/>
        <w:t>Bezpečnost při realizaci a užívání</w:t>
      </w:r>
    </w:p>
    <w:p w14:paraId="3A0C04AE" w14:textId="77777777" w:rsidR="008F066F" w:rsidRPr="00303943" w:rsidRDefault="008F066F" w:rsidP="008F066F">
      <w:pPr>
        <w:pStyle w:val="Nadpis2"/>
      </w:pPr>
      <w:r w:rsidRPr="00303943">
        <w:t>Bezpečnost při realizací díla</w:t>
      </w:r>
    </w:p>
    <w:p w14:paraId="7A1C5B6D" w14:textId="77777777" w:rsidR="008F066F" w:rsidRPr="00303943" w:rsidRDefault="008F066F" w:rsidP="008F066F">
      <w:r w:rsidRPr="00303943">
        <w:t>Bezpečnost při realizací díla zajišťuje zhotovitel ve smyslu zák. 262/2006 ve znění pozdějších předpisů (Zákoník práce) a vyhl. 324/1990 - bezpečnost práce a technických zařízení při stavebních pracích. Veškeré práce mohou provádět pouze osoby (fyzické i právnické) s odpovídající kvalifikací.</w:t>
      </w:r>
    </w:p>
    <w:p w14:paraId="2CEC6B18" w14:textId="77777777" w:rsidR="008F066F" w:rsidRPr="00303943" w:rsidRDefault="008F066F" w:rsidP="008F066F">
      <w:pPr>
        <w:pStyle w:val="Nadpis2"/>
      </w:pPr>
      <w:r w:rsidRPr="00303943">
        <w:t>Bezpečnost při provozu a užívání zařízení</w:t>
      </w:r>
    </w:p>
    <w:p w14:paraId="04D5535C" w14:textId="77777777" w:rsidR="00DF2F79" w:rsidRPr="00303943" w:rsidRDefault="00DF2F79" w:rsidP="00DF2F79">
      <w:r w:rsidRPr="00303943">
        <w:t xml:space="preserve">Veškeré zařízení, které při dotyku může způsobit popáleniny, bude opatřeno tepelnou izolací. Údržbu a opravy budou provádět pouze kvalifikovaní pracovníci. Obsluha </w:t>
      </w:r>
      <w:r w:rsidR="009156C7" w:rsidRPr="00303943">
        <w:t>m</w:t>
      </w:r>
      <w:r w:rsidRPr="00303943">
        <w:t>usí písemně potvrdit, že zná příslušné bezpečnostní a hygienické předpisy a byla seznámena s obsluhou zařízení a provozní a požárním řádem.</w:t>
      </w:r>
    </w:p>
    <w:p w14:paraId="06EBA985" w14:textId="77777777" w:rsidR="00DF2F79" w:rsidRPr="00303943" w:rsidRDefault="00DF2F79" w:rsidP="00DF2F79">
      <w:r w:rsidRPr="00303943">
        <w:t>Osvětlení bude přirozené oknem a umělé, provedení bude v souladu s ČSN 34 0016.</w:t>
      </w:r>
    </w:p>
    <w:p w14:paraId="19D31688" w14:textId="77777777" w:rsidR="008F066F" w:rsidRPr="00303943" w:rsidRDefault="008F066F" w:rsidP="008F066F">
      <w:pPr>
        <w:pStyle w:val="Nadpis1"/>
        <w:ind w:left="567" w:hanging="567"/>
      </w:pPr>
      <w:r w:rsidRPr="00303943">
        <w:t>Požadavky na související profese</w:t>
      </w:r>
    </w:p>
    <w:p w14:paraId="52141042" w14:textId="77777777" w:rsidR="008F066F" w:rsidRPr="00303943" w:rsidRDefault="008F066F" w:rsidP="008F066F">
      <w:r w:rsidRPr="00303943">
        <w:t>Stavba, měření a regulace, zemní plyn, silnoproud, slaboproud, zdravotní instalace, vzduchotechniku, nátěry, izolace, popř. další.</w:t>
      </w:r>
    </w:p>
    <w:p w14:paraId="66C09E4C" w14:textId="77777777" w:rsidR="008F066F" w:rsidRPr="00303943" w:rsidRDefault="008F066F" w:rsidP="008F066F">
      <w:pPr>
        <w:pStyle w:val="Nadpis2"/>
      </w:pPr>
      <w:r w:rsidRPr="00303943">
        <w:t>Stavební práce</w:t>
      </w:r>
    </w:p>
    <w:p w14:paraId="0685C026" w14:textId="77777777" w:rsidR="008F066F" w:rsidRPr="00303943" w:rsidRDefault="008F066F" w:rsidP="008F066F">
      <w:r w:rsidRPr="00303943">
        <w:t xml:space="preserve">Pro instalaci zařízení je nutné zřízení prostupů a drážek pro </w:t>
      </w:r>
      <w:r w:rsidR="00A94A6E" w:rsidRPr="00303943">
        <w:t xml:space="preserve">potrubní </w:t>
      </w:r>
      <w:r w:rsidRPr="00303943">
        <w:t>rozvod</w:t>
      </w:r>
      <w:r w:rsidR="00A94A6E" w:rsidRPr="00303943">
        <w:t xml:space="preserve">y </w:t>
      </w:r>
      <w:r w:rsidRPr="00303943">
        <w:t xml:space="preserve">a pro odvod spalin </w:t>
      </w:r>
      <w:r w:rsidR="00A94A6E" w:rsidRPr="00303943">
        <w:t>a přívod spalovacího vzduchu</w:t>
      </w:r>
      <w:r w:rsidRPr="00303943">
        <w:t>.</w:t>
      </w:r>
    </w:p>
    <w:p w14:paraId="542932EB" w14:textId="77777777" w:rsidR="008F066F" w:rsidRPr="00303943" w:rsidRDefault="008F066F" w:rsidP="008F066F">
      <w:pPr>
        <w:pStyle w:val="Nadpis2"/>
      </w:pPr>
      <w:r w:rsidRPr="00303943">
        <w:t>Elektroinstalace</w:t>
      </w:r>
    </w:p>
    <w:p w14:paraId="4B93354A" w14:textId="77777777" w:rsidR="008F066F" w:rsidRPr="00303943" w:rsidRDefault="008F066F" w:rsidP="008F066F">
      <w:r w:rsidRPr="00303943">
        <w:t>Pro napojení jednotlivých kotlů a regulátoru na elektrickou instalaci je nutno zřídit do blízkosti kotlů samostatně jištěný přívod ukončený zásuvkami.</w:t>
      </w:r>
      <w:r w:rsidR="00A94A6E" w:rsidRPr="00303943">
        <w:t xml:space="preserve"> </w:t>
      </w:r>
      <w:r w:rsidRPr="00303943">
        <w:t>Pro napojení venkovního snímače teploty nutno instalovat kabelové vedení od kotlů na chráněné místo na neosluněné části budovy.</w:t>
      </w:r>
    </w:p>
    <w:sectPr w:rsidR="008F066F" w:rsidRPr="00303943" w:rsidSect="0047565B">
      <w:footerReference w:type="default" r:id="rId11"/>
      <w:footnotePr>
        <w:pos w:val="beneathText"/>
      </w:footnotePr>
      <w:pgSz w:w="11905" w:h="16837"/>
      <w:pgMar w:top="1417" w:right="1417" w:bottom="1417" w:left="1417" w:header="708"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2F427" w14:textId="77777777" w:rsidR="0074372D" w:rsidRDefault="0074372D">
      <w:pPr>
        <w:spacing w:after="0" w:line="240" w:lineRule="auto"/>
      </w:pPr>
      <w:r>
        <w:separator/>
      </w:r>
    </w:p>
  </w:endnote>
  <w:endnote w:type="continuationSeparator" w:id="0">
    <w:p w14:paraId="19A9EF7C" w14:textId="77777777" w:rsidR="0074372D" w:rsidRDefault="00743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C7C4C" w14:textId="77777777" w:rsidR="007848AB" w:rsidRDefault="007848AB">
    <w:pPr>
      <w:pStyle w:val="Zpat"/>
      <w:jc w:val="center"/>
    </w:pPr>
    <w:r>
      <w:rPr>
        <w:rStyle w:val="slostrnky"/>
      </w:rPr>
      <w:fldChar w:fldCharType="begin"/>
    </w:r>
    <w:r>
      <w:rPr>
        <w:rStyle w:val="slostrnky"/>
      </w:rPr>
      <w:instrText xml:space="preserve"> PAGE \*ARABIC </w:instrText>
    </w:r>
    <w:r>
      <w:rPr>
        <w:rStyle w:val="slostrnky"/>
      </w:rPr>
      <w:fldChar w:fldCharType="separate"/>
    </w:r>
    <w:r>
      <w:rPr>
        <w:rStyle w:val="slostrnky"/>
        <w:noProof/>
      </w:rPr>
      <w:t>13</w:t>
    </w:r>
    <w:r>
      <w:rPr>
        <w:rStyle w:val="slostrnky"/>
      </w:rPr>
      <w:fldChar w:fldCharType="end"/>
    </w:r>
    <w:r>
      <w:rPr>
        <w:rStyle w:val="slostrnky"/>
      </w:rPr>
      <w:t>/</w:t>
    </w:r>
    <w:r>
      <w:rPr>
        <w:rStyle w:val="slostrnky"/>
      </w:rPr>
      <w:fldChar w:fldCharType="begin"/>
    </w:r>
    <w:r>
      <w:rPr>
        <w:rStyle w:val="slostrnky"/>
      </w:rPr>
      <w:instrText xml:space="preserve"> NUMPAGES \*ARABIC </w:instrText>
    </w:r>
    <w:r>
      <w:rPr>
        <w:rStyle w:val="slostrnky"/>
      </w:rPr>
      <w:fldChar w:fldCharType="separate"/>
    </w:r>
    <w:r>
      <w:rPr>
        <w:rStyle w:val="slostrnky"/>
        <w:noProof/>
      </w:rPr>
      <w:t>13</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C52108" w14:textId="77777777" w:rsidR="0074372D" w:rsidRDefault="0074372D">
      <w:pPr>
        <w:spacing w:after="0" w:line="240" w:lineRule="auto"/>
      </w:pPr>
      <w:r>
        <w:separator/>
      </w:r>
    </w:p>
  </w:footnote>
  <w:footnote w:type="continuationSeparator" w:id="0">
    <w:p w14:paraId="0465A5B7" w14:textId="77777777" w:rsidR="0074372D" w:rsidRDefault="007437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1D022EBA"/>
    <w:name w:val="Outline"/>
    <w:lvl w:ilvl="0">
      <w:start w:val="1"/>
      <w:numFmt w:val="decimal"/>
      <w:lvlText w:val="%1."/>
      <w:lvlJc w:val="left"/>
      <w:pPr>
        <w:tabs>
          <w:tab w:val="num" w:pos="1717"/>
        </w:tabs>
        <w:ind w:left="1717" w:hanging="1717"/>
      </w:pPr>
    </w:lvl>
  </w:abstractNum>
  <w:abstractNum w:abstractNumId="1" w15:restartNumberingAfterBreak="0">
    <w:nsid w:val="14024189"/>
    <w:multiLevelType w:val="multilevel"/>
    <w:tmpl w:val="B8148DCE"/>
    <w:lvl w:ilvl="0">
      <w:start w:val="11"/>
      <w:numFmt w:val="decimal"/>
      <w:lvlText w:val="%1."/>
      <w:lvlJc w:val="left"/>
      <w:pPr>
        <w:ind w:left="720" w:hanging="360"/>
      </w:pPr>
      <w:rPr>
        <w:b w:val="0"/>
        <w:bCs w:val="0"/>
        <w:i w:val="0"/>
        <w:iCs w:val="0"/>
        <w:caps w:val="0"/>
        <w:smallCaps w:val="0"/>
        <w:strike w:val="0"/>
        <w:dstrike w:val="0"/>
        <w:spacing w:val="0"/>
        <w:w w:val="100"/>
        <w:sz w:val="27"/>
        <w:szCs w:val="27"/>
        <w:u w:val="none"/>
      </w:rPr>
    </w:lvl>
    <w:lvl w:ilvl="1">
      <w:start w:val="1"/>
      <w:numFmt w:val="decimal"/>
      <w:lvlText w:val="%1.%2"/>
      <w:lvlJc w:val="left"/>
      <w:pPr>
        <w:ind w:left="1070" w:hanging="360"/>
      </w:pPr>
      <w:rPr>
        <w:b/>
        <w:bCs/>
        <w:i w:val="0"/>
        <w:iCs w:val="0"/>
        <w:caps w:val="0"/>
        <w:smallCaps w:val="0"/>
        <w:strike w:val="0"/>
        <w:dstrike w:val="0"/>
        <w:spacing w:val="0"/>
        <w:w w:val="100"/>
        <w:sz w:val="18"/>
        <w:szCs w:val="18"/>
        <w:u w:val="none"/>
      </w:rPr>
    </w:lvl>
    <w:lvl w:ilvl="2">
      <w:start w:val="1"/>
      <w:numFmt w:val="decimal"/>
      <w:lvlText w:val="%1.%2.%3"/>
      <w:lvlJc w:val="left"/>
      <w:pPr>
        <w:ind w:left="1440" w:hanging="360"/>
      </w:pPr>
      <w:rPr>
        <w:b w:val="0"/>
        <w:bCs w:val="0"/>
        <w:i w:val="0"/>
        <w:iCs w:val="0"/>
        <w:caps w:val="0"/>
        <w:smallCaps w:val="0"/>
        <w:strike w:val="0"/>
        <w:dstrike w:val="0"/>
        <w:spacing w:val="0"/>
        <w:w w:val="100"/>
        <w:sz w:val="27"/>
        <w:szCs w:val="27"/>
        <w:u w:val="none"/>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166701"/>
    <w:multiLevelType w:val="multilevel"/>
    <w:tmpl w:val="C3D4425C"/>
    <w:lvl w:ilvl="0">
      <w:start w:val="1"/>
      <w:numFmt w:val="bullet"/>
      <w:lvlText w:val="•"/>
      <w:lvlJc w:val="left"/>
      <w:pPr>
        <w:ind w:left="720" w:hanging="360"/>
      </w:pPr>
      <w:rPr>
        <w:rFonts w:ascii="Franklin Gothic Book" w:hAnsi="Franklin Gothic Book" w:cs="Franklin Gothic Book" w:hint="default"/>
        <w:b w:val="0"/>
        <w:bCs w:val="0"/>
        <w:i w:val="0"/>
        <w:iCs w:val="0"/>
        <w:caps w:val="0"/>
        <w:smallCaps w:val="0"/>
        <w:strike w:val="0"/>
        <w:dstrike w:val="0"/>
        <w:spacing w:val="0"/>
        <w:w w:val="100"/>
        <w:sz w:val="27"/>
        <w:szCs w:val="27"/>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88015F5"/>
    <w:multiLevelType w:val="multilevel"/>
    <w:tmpl w:val="1D34A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DEC1396"/>
    <w:multiLevelType w:val="multilevel"/>
    <w:tmpl w:val="0E30AF96"/>
    <w:lvl w:ilvl="0">
      <w:start w:val="1"/>
      <w:numFmt w:val="decimal"/>
      <w:lvlText w:val="%1."/>
      <w:lvlJc w:val="left"/>
      <w:pPr>
        <w:ind w:left="720" w:hanging="360"/>
      </w:pPr>
      <w:rPr>
        <w:b w:val="0"/>
        <w:bCs w:val="0"/>
        <w:i w:val="0"/>
        <w:iCs w:val="0"/>
        <w:caps w:val="0"/>
        <w:smallCaps w:val="0"/>
        <w:strike w:val="0"/>
        <w:dstrike w:val="0"/>
        <w:spacing w:val="0"/>
        <w:w w:val="100"/>
        <w:sz w:val="27"/>
        <w:szCs w:val="27"/>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270E7DC0"/>
    <w:multiLevelType w:val="multilevel"/>
    <w:tmpl w:val="F77E61FA"/>
    <w:lvl w:ilvl="0">
      <w:start w:val="1"/>
      <w:numFmt w:val="lowerLetter"/>
      <w:lvlText w:val="%1)"/>
      <w:lvlJc w:val="left"/>
      <w:pPr>
        <w:ind w:left="720" w:hanging="360"/>
      </w:pPr>
      <w:rPr>
        <w:b w:val="0"/>
        <w:bCs w:val="0"/>
        <w:i w:val="0"/>
        <w:iCs w:val="0"/>
        <w:caps w:val="0"/>
        <w:smallCaps w:val="0"/>
        <w:strike w:val="0"/>
        <w:dstrike w:val="0"/>
        <w:spacing w:val="0"/>
        <w:w w:val="100"/>
        <w:sz w:val="27"/>
        <w:szCs w:val="27"/>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AE96B32"/>
    <w:multiLevelType w:val="hybridMultilevel"/>
    <w:tmpl w:val="3D7AF1D2"/>
    <w:lvl w:ilvl="0" w:tplc="4CA00612">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8014B5"/>
    <w:multiLevelType w:val="hybridMultilevel"/>
    <w:tmpl w:val="4FA0128C"/>
    <w:lvl w:ilvl="0" w:tplc="86364BB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12C1BD5"/>
    <w:multiLevelType w:val="hybridMultilevel"/>
    <w:tmpl w:val="EFF07D0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34CD4790"/>
    <w:multiLevelType w:val="multilevel"/>
    <w:tmpl w:val="25CEB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E60ABC"/>
    <w:multiLevelType w:val="hybridMultilevel"/>
    <w:tmpl w:val="94C4CC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07272E9"/>
    <w:multiLevelType w:val="multilevel"/>
    <w:tmpl w:val="73E8135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6886DCC"/>
    <w:multiLevelType w:val="multilevel"/>
    <w:tmpl w:val="D096A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8825E7"/>
    <w:multiLevelType w:val="hybridMultilevel"/>
    <w:tmpl w:val="909AF98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646E21A5"/>
    <w:multiLevelType w:val="multilevel"/>
    <w:tmpl w:val="DDB85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FA023FE"/>
    <w:multiLevelType w:val="multilevel"/>
    <w:tmpl w:val="DF9E73A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7C6F0A0B"/>
    <w:multiLevelType w:val="hybridMultilevel"/>
    <w:tmpl w:val="1010868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7F04201C"/>
    <w:multiLevelType w:val="hybridMultilevel"/>
    <w:tmpl w:val="1514F0C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8" w15:restartNumberingAfterBreak="0">
    <w:nsid w:val="7FC75C56"/>
    <w:multiLevelType w:val="multilevel"/>
    <w:tmpl w:val="2E0A9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0"/>
  </w:num>
  <w:num w:numId="3">
    <w:abstractNumId w:val="0"/>
  </w:num>
  <w:num w:numId="4">
    <w:abstractNumId w:val="10"/>
  </w:num>
  <w:num w:numId="5">
    <w:abstractNumId w:val="7"/>
  </w:num>
  <w:num w:numId="6">
    <w:abstractNumId w:val="6"/>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11"/>
  </w:num>
  <w:num w:numId="15">
    <w:abstractNumId w:val="11"/>
  </w:num>
  <w:num w:numId="16">
    <w:abstractNumId w:val="11"/>
  </w:num>
  <w:num w:numId="17">
    <w:abstractNumId w:val="12"/>
  </w:num>
  <w:num w:numId="18">
    <w:abstractNumId w:val="9"/>
  </w:num>
  <w:num w:numId="19">
    <w:abstractNumId w:val="8"/>
  </w:num>
  <w:num w:numId="20">
    <w:abstractNumId w:val="2"/>
  </w:num>
  <w:num w:numId="21">
    <w:abstractNumId w:val="1"/>
  </w:num>
  <w:num w:numId="22">
    <w:abstractNumId w:val="5"/>
  </w:num>
  <w:num w:numId="23">
    <w:abstractNumId w:val="4"/>
  </w:num>
  <w:num w:numId="24">
    <w:abstractNumId w:val="13"/>
  </w:num>
  <w:num w:numId="25">
    <w:abstractNumId w:val="17"/>
  </w:num>
  <w:num w:numId="26">
    <w:abstractNumId w:val="11"/>
  </w:num>
  <w:num w:numId="27">
    <w:abstractNumId w:val="11"/>
  </w:num>
  <w:num w:numId="28">
    <w:abstractNumId w:val="11"/>
  </w:num>
  <w:num w:numId="29">
    <w:abstractNumId w:val="11"/>
  </w:num>
  <w:num w:numId="30">
    <w:abstractNumId w:val="15"/>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8"/>
  </w:num>
  <w:num w:numId="40">
    <w:abstractNumId w:val="14"/>
  </w:num>
  <w:num w:numId="41">
    <w:abstractNumId w:val="3"/>
  </w:num>
  <w:num w:numId="42">
    <w:abstractNumId w:val="16"/>
  </w:num>
  <w:num w:numId="43">
    <w:abstractNumId w:val="11"/>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026039"/>
    <w:rsid w:val="00002DA9"/>
    <w:rsid w:val="0001320F"/>
    <w:rsid w:val="00026039"/>
    <w:rsid w:val="00084C74"/>
    <w:rsid w:val="0008783E"/>
    <w:rsid w:val="000A57F3"/>
    <w:rsid w:val="000B3FAF"/>
    <w:rsid w:val="000C5047"/>
    <w:rsid w:val="000E242F"/>
    <w:rsid w:val="0010118D"/>
    <w:rsid w:val="00112D8B"/>
    <w:rsid w:val="00113221"/>
    <w:rsid w:val="001324FE"/>
    <w:rsid w:val="001369D5"/>
    <w:rsid w:val="00162C48"/>
    <w:rsid w:val="00183FFD"/>
    <w:rsid w:val="001C5C86"/>
    <w:rsid w:val="001F6DFB"/>
    <w:rsid w:val="00221866"/>
    <w:rsid w:val="0024600A"/>
    <w:rsid w:val="00265314"/>
    <w:rsid w:val="00287881"/>
    <w:rsid w:val="002970CE"/>
    <w:rsid w:val="002A209F"/>
    <w:rsid w:val="002E1DB9"/>
    <w:rsid w:val="002F02EF"/>
    <w:rsid w:val="002F3778"/>
    <w:rsid w:val="00303943"/>
    <w:rsid w:val="003348D9"/>
    <w:rsid w:val="00337505"/>
    <w:rsid w:val="003567BF"/>
    <w:rsid w:val="00357659"/>
    <w:rsid w:val="00362C3A"/>
    <w:rsid w:val="00386E45"/>
    <w:rsid w:val="003B0847"/>
    <w:rsid w:val="003B1426"/>
    <w:rsid w:val="003B66B7"/>
    <w:rsid w:val="003D7CAD"/>
    <w:rsid w:val="00405A24"/>
    <w:rsid w:val="00410B15"/>
    <w:rsid w:val="00472510"/>
    <w:rsid w:val="0047565B"/>
    <w:rsid w:val="00481999"/>
    <w:rsid w:val="00493FCD"/>
    <w:rsid w:val="004A6587"/>
    <w:rsid w:val="004D570B"/>
    <w:rsid w:val="004F0C5C"/>
    <w:rsid w:val="00534C5B"/>
    <w:rsid w:val="005400FA"/>
    <w:rsid w:val="0054329E"/>
    <w:rsid w:val="0055055B"/>
    <w:rsid w:val="00551D01"/>
    <w:rsid w:val="00554C3B"/>
    <w:rsid w:val="00576C25"/>
    <w:rsid w:val="00585A22"/>
    <w:rsid w:val="00586848"/>
    <w:rsid w:val="005925EC"/>
    <w:rsid w:val="00594F0D"/>
    <w:rsid w:val="005A4584"/>
    <w:rsid w:val="005B23A9"/>
    <w:rsid w:val="005C29CE"/>
    <w:rsid w:val="005D1DD1"/>
    <w:rsid w:val="005D31D4"/>
    <w:rsid w:val="005E1F42"/>
    <w:rsid w:val="005F5878"/>
    <w:rsid w:val="00612999"/>
    <w:rsid w:val="0062209C"/>
    <w:rsid w:val="00631E97"/>
    <w:rsid w:val="0064361E"/>
    <w:rsid w:val="006545AD"/>
    <w:rsid w:val="00661E8D"/>
    <w:rsid w:val="0066606C"/>
    <w:rsid w:val="00675030"/>
    <w:rsid w:val="006B5FCD"/>
    <w:rsid w:val="006C2E29"/>
    <w:rsid w:val="006C74C4"/>
    <w:rsid w:val="006D39D0"/>
    <w:rsid w:val="006E38EE"/>
    <w:rsid w:val="006F16BD"/>
    <w:rsid w:val="00720AB0"/>
    <w:rsid w:val="0074372D"/>
    <w:rsid w:val="00754B93"/>
    <w:rsid w:val="007634EB"/>
    <w:rsid w:val="00767245"/>
    <w:rsid w:val="007708CD"/>
    <w:rsid w:val="007848AB"/>
    <w:rsid w:val="00786F60"/>
    <w:rsid w:val="007A0D70"/>
    <w:rsid w:val="007B0BE1"/>
    <w:rsid w:val="007B3286"/>
    <w:rsid w:val="007B6934"/>
    <w:rsid w:val="007C64DB"/>
    <w:rsid w:val="007D275E"/>
    <w:rsid w:val="008141BE"/>
    <w:rsid w:val="00815E57"/>
    <w:rsid w:val="00822BD2"/>
    <w:rsid w:val="008307B0"/>
    <w:rsid w:val="00834566"/>
    <w:rsid w:val="00842081"/>
    <w:rsid w:val="00853C1D"/>
    <w:rsid w:val="008D5AC9"/>
    <w:rsid w:val="008D676C"/>
    <w:rsid w:val="008D7F53"/>
    <w:rsid w:val="008F066F"/>
    <w:rsid w:val="009156C7"/>
    <w:rsid w:val="00923CB9"/>
    <w:rsid w:val="00925939"/>
    <w:rsid w:val="0094036F"/>
    <w:rsid w:val="00942BF7"/>
    <w:rsid w:val="00944693"/>
    <w:rsid w:val="00967569"/>
    <w:rsid w:val="00980DB9"/>
    <w:rsid w:val="00993F15"/>
    <w:rsid w:val="009A2D92"/>
    <w:rsid w:val="009C6685"/>
    <w:rsid w:val="009D2208"/>
    <w:rsid w:val="009D2776"/>
    <w:rsid w:val="009D4350"/>
    <w:rsid w:val="009D4C78"/>
    <w:rsid w:val="009E7942"/>
    <w:rsid w:val="00A315DB"/>
    <w:rsid w:val="00A32090"/>
    <w:rsid w:val="00A43AA5"/>
    <w:rsid w:val="00A451FC"/>
    <w:rsid w:val="00A5356B"/>
    <w:rsid w:val="00A928D6"/>
    <w:rsid w:val="00A94A6E"/>
    <w:rsid w:val="00A95A37"/>
    <w:rsid w:val="00AB7CC7"/>
    <w:rsid w:val="00AD43BE"/>
    <w:rsid w:val="00B03F35"/>
    <w:rsid w:val="00B16396"/>
    <w:rsid w:val="00B539C9"/>
    <w:rsid w:val="00B54758"/>
    <w:rsid w:val="00B56580"/>
    <w:rsid w:val="00B63C3C"/>
    <w:rsid w:val="00B95378"/>
    <w:rsid w:val="00BC55EB"/>
    <w:rsid w:val="00BF6B4F"/>
    <w:rsid w:val="00C016D0"/>
    <w:rsid w:val="00C06A99"/>
    <w:rsid w:val="00C32510"/>
    <w:rsid w:val="00C34166"/>
    <w:rsid w:val="00C914FE"/>
    <w:rsid w:val="00CA0462"/>
    <w:rsid w:val="00CB1293"/>
    <w:rsid w:val="00CB41B9"/>
    <w:rsid w:val="00CE00A8"/>
    <w:rsid w:val="00CE5073"/>
    <w:rsid w:val="00CE799B"/>
    <w:rsid w:val="00CF1018"/>
    <w:rsid w:val="00CF5E4A"/>
    <w:rsid w:val="00DB0B5A"/>
    <w:rsid w:val="00DC5626"/>
    <w:rsid w:val="00DF2F79"/>
    <w:rsid w:val="00E26795"/>
    <w:rsid w:val="00E43BE9"/>
    <w:rsid w:val="00E7494E"/>
    <w:rsid w:val="00E76211"/>
    <w:rsid w:val="00E97151"/>
    <w:rsid w:val="00ED7726"/>
    <w:rsid w:val="00F12317"/>
    <w:rsid w:val="00F12862"/>
    <w:rsid w:val="00F2162A"/>
    <w:rsid w:val="00F35493"/>
    <w:rsid w:val="00F35960"/>
    <w:rsid w:val="00F51FA0"/>
    <w:rsid w:val="00F608D8"/>
    <w:rsid w:val="00F638B8"/>
    <w:rsid w:val="00F970AF"/>
    <w:rsid w:val="00FA16D2"/>
    <w:rsid w:val="00FA70A1"/>
    <w:rsid w:val="00FB1D23"/>
    <w:rsid w:val="00FD318C"/>
    <w:rsid w:val="00FD657A"/>
    <w:rsid w:val="00FF1790"/>
    <w:rsid w:val="00FF74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59495"/>
  <w15:docId w15:val="{34C896CE-6C9B-4CF5-A856-97B0B8F06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2999"/>
    <w:pPr>
      <w:widowControl w:val="0"/>
      <w:suppressAutoHyphens/>
      <w:autoSpaceDE w:val="0"/>
      <w:spacing w:after="120" w:line="252" w:lineRule="auto"/>
      <w:ind w:firstLine="284"/>
      <w:jc w:val="both"/>
    </w:pPr>
    <w:rPr>
      <w:rFonts w:asciiTheme="minorHAnsi" w:hAnsiTheme="minorHAnsi" w:cs="Arial"/>
      <w:sz w:val="24"/>
      <w:lang w:eastAsia="ar-SA"/>
    </w:rPr>
  </w:style>
  <w:style w:type="paragraph" w:styleId="Nadpis1">
    <w:name w:val="heading 1"/>
    <w:basedOn w:val="Normln"/>
    <w:next w:val="Normln"/>
    <w:link w:val="Nadpis1Char"/>
    <w:qFormat/>
    <w:rsid w:val="003B0847"/>
    <w:pPr>
      <w:keepNext/>
      <w:numPr>
        <w:numId w:val="15"/>
      </w:numPr>
      <w:spacing w:before="480" w:after="60"/>
      <w:ind w:left="431" w:hanging="431"/>
      <w:outlineLvl w:val="0"/>
    </w:pPr>
    <w:rPr>
      <w:rFonts w:eastAsiaTheme="majorEastAsia"/>
      <w:b/>
      <w:bCs/>
      <w:caps/>
      <w:kern w:val="28"/>
      <w:sz w:val="32"/>
      <w:szCs w:val="32"/>
    </w:rPr>
  </w:style>
  <w:style w:type="paragraph" w:styleId="Nadpis2">
    <w:name w:val="heading 2"/>
    <w:basedOn w:val="Nadpis1"/>
    <w:next w:val="Normln"/>
    <w:link w:val="Nadpis2Char"/>
    <w:qFormat/>
    <w:rsid w:val="003B0847"/>
    <w:pPr>
      <w:numPr>
        <w:ilvl w:val="1"/>
      </w:numPr>
      <w:spacing w:before="240"/>
      <w:outlineLvl w:val="1"/>
    </w:pPr>
    <w:rPr>
      <w:rFonts w:ascii="Calibri" w:hAnsi="Calibri"/>
      <w:caps w:val="0"/>
      <w:sz w:val="28"/>
    </w:rPr>
  </w:style>
  <w:style w:type="paragraph" w:styleId="Nadpis3">
    <w:name w:val="heading 3"/>
    <w:basedOn w:val="Nadpis2"/>
    <w:next w:val="Normln"/>
    <w:link w:val="Nadpis3Char"/>
    <w:qFormat/>
    <w:rsid w:val="0062209C"/>
    <w:pPr>
      <w:numPr>
        <w:ilvl w:val="2"/>
      </w:numPr>
      <w:autoSpaceDE/>
      <w:spacing w:line="240" w:lineRule="auto"/>
      <w:outlineLvl w:val="2"/>
    </w:pPr>
    <w:rPr>
      <w:rFonts w:cs="Times New Roman"/>
      <w:sz w:val="24"/>
    </w:rPr>
  </w:style>
  <w:style w:type="paragraph" w:styleId="Nadpis4">
    <w:name w:val="heading 4"/>
    <w:basedOn w:val="Normln"/>
    <w:next w:val="Normln"/>
    <w:link w:val="Nadpis4Char"/>
    <w:qFormat/>
    <w:rsid w:val="0062209C"/>
    <w:pPr>
      <w:keepNext/>
      <w:widowControl/>
      <w:numPr>
        <w:ilvl w:val="3"/>
        <w:numId w:val="15"/>
      </w:numPr>
      <w:autoSpaceDE/>
      <w:spacing w:before="240" w:after="60" w:line="240" w:lineRule="auto"/>
      <w:jc w:val="left"/>
      <w:outlineLvl w:val="3"/>
    </w:pPr>
    <w:rPr>
      <w:rFonts w:ascii="Times New Roman" w:hAnsi="Times New Roman" w:cs="Times New Roman"/>
      <w:b/>
      <w:bCs/>
      <w:sz w:val="28"/>
      <w:szCs w:val="28"/>
    </w:rPr>
  </w:style>
  <w:style w:type="paragraph" w:styleId="Nadpis5">
    <w:name w:val="heading 5"/>
    <w:basedOn w:val="Normln"/>
    <w:next w:val="Normln"/>
    <w:link w:val="Nadpis5Char"/>
    <w:qFormat/>
    <w:rsid w:val="0062209C"/>
    <w:pPr>
      <w:widowControl/>
      <w:numPr>
        <w:ilvl w:val="4"/>
        <w:numId w:val="15"/>
      </w:numPr>
      <w:autoSpaceDE/>
      <w:spacing w:before="240" w:after="60" w:line="240" w:lineRule="auto"/>
      <w:jc w:val="left"/>
      <w:outlineLvl w:val="4"/>
    </w:pPr>
    <w:rPr>
      <w:rFonts w:ascii="Times New Roman" w:hAnsi="Times New Roman" w:cs="Times New Roman"/>
      <w:b/>
      <w:bCs/>
      <w:i/>
      <w:iCs/>
      <w:sz w:val="26"/>
      <w:szCs w:val="26"/>
    </w:rPr>
  </w:style>
  <w:style w:type="paragraph" w:styleId="Nadpis6">
    <w:name w:val="heading 6"/>
    <w:basedOn w:val="Normln"/>
    <w:next w:val="Normln"/>
    <w:link w:val="Nadpis6Char"/>
    <w:qFormat/>
    <w:rsid w:val="0062209C"/>
    <w:pPr>
      <w:widowControl/>
      <w:numPr>
        <w:ilvl w:val="5"/>
        <w:numId w:val="15"/>
      </w:numPr>
      <w:autoSpaceDE/>
      <w:spacing w:before="240" w:after="60" w:line="240" w:lineRule="auto"/>
      <w:jc w:val="left"/>
      <w:outlineLvl w:val="5"/>
    </w:pPr>
    <w:rPr>
      <w:rFonts w:ascii="Times New Roman" w:hAnsi="Times New Roman" w:cs="Times New Roman"/>
      <w:b/>
      <w:bCs/>
      <w:sz w:val="22"/>
      <w:szCs w:val="22"/>
    </w:rPr>
  </w:style>
  <w:style w:type="paragraph" w:styleId="Nadpis7">
    <w:name w:val="heading 7"/>
    <w:basedOn w:val="Normln"/>
    <w:next w:val="Normln"/>
    <w:link w:val="Nadpis7Char"/>
    <w:unhideWhenUsed/>
    <w:qFormat/>
    <w:rsid w:val="0062209C"/>
    <w:pPr>
      <w:keepNext/>
      <w:keepLines/>
      <w:numPr>
        <w:ilvl w:val="6"/>
        <w:numId w:val="15"/>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nhideWhenUsed/>
    <w:qFormat/>
    <w:rsid w:val="0062209C"/>
    <w:pPr>
      <w:keepNext/>
      <w:keepLines/>
      <w:numPr>
        <w:ilvl w:val="7"/>
        <w:numId w:val="15"/>
      </w:numPr>
      <w:spacing w:before="200" w:after="0"/>
      <w:outlineLvl w:val="7"/>
    </w:pPr>
    <w:rPr>
      <w:rFonts w:asciiTheme="majorHAnsi" w:eastAsiaTheme="majorEastAsia" w:hAnsiTheme="majorHAnsi" w:cstheme="majorBidi"/>
      <w:color w:val="404040" w:themeColor="text1" w:themeTint="BF"/>
      <w:sz w:val="20"/>
    </w:rPr>
  </w:style>
  <w:style w:type="paragraph" w:styleId="Nadpis9">
    <w:name w:val="heading 9"/>
    <w:basedOn w:val="Normln"/>
    <w:next w:val="Normln"/>
    <w:link w:val="Nadpis9Char"/>
    <w:unhideWhenUsed/>
    <w:qFormat/>
    <w:rsid w:val="0062209C"/>
    <w:pPr>
      <w:keepNext/>
      <w:keepLines/>
      <w:numPr>
        <w:ilvl w:val="8"/>
        <w:numId w:val="15"/>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Standardnpsmoodstavce">
    <w:name w:val="WW-Standardní písmo odstavce"/>
    <w:rsid w:val="0047565B"/>
  </w:style>
  <w:style w:type="character" w:customStyle="1" w:styleId="WW-Standardnpsmoodstavce1">
    <w:name w:val="WW-Standardní písmo odstavce1"/>
    <w:rsid w:val="0047565B"/>
  </w:style>
  <w:style w:type="character" w:customStyle="1" w:styleId="Znakypropoznmkupodarou">
    <w:name w:val="Znaky pro poznámku pod čarou"/>
    <w:rsid w:val="0047565B"/>
    <w:rPr>
      <w:vertAlign w:val="superscript"/>
    </w:rPr>
  </w:style>
  <w:style w:type="character" w:customStyle="1" w:styleId="WW-Znakypropoznmkupodarou">
    <w:name w:val="WW-Znaky pro poznámku pod čarou"/>
    <w:rsid w:val="0047565B"/>
  </w:style>
  <w:style w:type="character" w:customStyle="1" w:styleId="Znakyprovysvtlivky">
    <w:name w:val="Znaky pro vysvětlivky"/>
    <w:rsid w:val="0047565B"/>
    <w:rPr>
      <w:vertAlign w:val="superscript"/>
    </w:rPr>
  </w:style>
  <w:style w:type="character" w:customStyle="1" w:styleId="WW-Znakyprovysvtlivky">
    <w:name w:val="WW-Znaky pro vysvětlivky"/>
    <w:rsid w:val="0047565B"/>
  </w:style>
  <w:style w:type="character" w:styleId="slostrnky">
    <w:name w:val="page number"/>
    <w:basedOn w:val="WW-Standardnpsmoodstavce"/>
    <w:semiHidden/>
    <w:rsid w:val="0047565B"/>
  </w:style>
  <w:style w:type="character" w:styleId="Znakapoznpodarou">
    <w:name w:val="footnote reference"/>
    <w:semiHidden/>
    <w:rsid w:val="0047565B"/>
    <w:rPr>
      <w:vertAlign w:val="superscript"/>
    </w:rPr>
  </w:style>
  <w:style w:type="paragraph" w:styleId="Zkladntext">
    <w:name w:val="Body Text"/>
    <w:basedOn w:val="Normln"/>
    <w:semiHidden/>
    <w:rsid w:val="0047565B"/>
    <w:pPr>
      <w:autoSpaceDE/>
      <w:spacing w:line="288" w:lineRule="auto"/>
      <w:jc w:val="left"/>
    </w:pPr>
    <w:rPr>
      <w:rFonts w:ascii="Times New Roman" w:hAnsi="Times New Roman" w:cs="Times New Roman"/>
    </w:rPr>
  </w:style>
  <w:style w:type="paragraph" w:styleId="Seznam">
    <w:name w:val="List"/>
    <w:basedOn w:val="Zkladntext"/>
    <w:semiHidden/>
    <w:rsid w:val="0047565B"/>
    <w:rPr>
      <w:rFonts w:cs="Tahoma"/>
    </w:rPr>
  </w:style>
  <w:style w:type="paragraph" w:customStyle="1" w:styleId="Popisek">
    <w:name w:val="Popisek"/>
    <w:basedOn w:val="Normln"/>
    <w:rsid w:val="0047565B"/>
    <w:pPr>
      <w:suppressLineNumbers/>
      <w:spacing w:before="120"/>
    </w:pPr>
    <w:rPr>
      <w:rFonts w:cs="Tahoma"/>
      <w:i/>
      <w:iCs/>
    </w:rPr>
  </w:style>
  <w:style w:type="paragraph" w:customStyle="1" w:styleId="Rejstk">
    <w:name w:val="Rejstřík"/>
    <w:basedOn w:val="Normln"/>
    <w:rsid w:val="0047565B"/>
    <w:pPr>
      <w:suppressLineNumbers/>
    </w:pPr>
    <w:rPr>
      <w:rFonts w:cs="Tahoma"/>
    </w:rPr>
  </w:style>
  <w:style w:type="paragraph" w:customStyle="1" w:styleId="Nadpis">
    <w:name w:val="Nadpis"/>
    <w:basedOn w:val="Normln"/>
    <w:next w:val="Zkladntext"/>
    <w:rsid w:val="0047565B"/>
    <w:pPr>
      <w:keepNext/>
      <w:spacing w:before="240"/>
    </w:pPr>
    <w:rPr>
      <w:rFonts w:ascii="Arial" w:eastAsia="MS Mincho" w:hAnsi="Arial" w:cs="Tahoma"/>
      <w:sz w:val="28"/>
      <w:szCs w:val="28"/>
    </w:rPr>
  </w:style>
  <w:style w:type="paragraph" w:customStyle="1" w:styleId="WW-Popisek">
    <w:name w:val="WW-Popisek"/>
    <w:basedOn w:val="Normln"/>
    <w:rsid w:val="0047565B"/>
    <w:pPr>
      <w:suppressLineNumbers/>
      <w:spacing w:before="120"/>
    </w:pPr>
    <w:rPr>
      <w:rFonts w:cs="Tahoma"/>
      <w:i/>
      <w:iCs/>
    </w:rPr>
  </w:style>
  <w:style w:type="paragraph" w:customStyle="1" w:styleId="WW-Rejstk">
    <w:name w:val="WW-Rejstřík"/>
    <w:basedOn w:val="Normln"/>
    <w:rsid w:val="0047565B"/>
    <w:pPr>
      <w:suppressLineNumbers/>
    </w:pPr>
    <w:rPr>
      <w:rFonts w:cs="Tahoma"/>
    </w:rPr>
  </w:style>
  <w:style w:type="paragraph" w:customStyle="1" w:styleId="WW-Nadpis">
    <w:name w:val="WW-Nadpis"/>
    <w:basedOn w:val="Normln"/>
    <w:next w:val="Zkladntext"/>
    <w:rsid w:val="0047565B"/>
    <w:pPr>
      <w:keepNext/>
      <w:spacing w:before="240"/>
    </w:pPr>
    <w:rPr>
      <w:rFonts w:ascii="Arial" w:eastAsia="Lucida Sans Unicode" w:hAnsi="Arial" w:cs="Tahoma"/>
      <w:sz w:val="28"/>
      <w:szCs w:val="28"/>
    </w:rPr>
  </w:style>
  <w:style w:type="paragraph" w:styleId="Adresanaoblku">
    <w:name w:val="envelope address"/>
    <w:basedOn w:val="Normln"/>
    <w:semiHidden/>
    <w:rsid w:val="0047565B"/>
    <w:pPr>
      <w:tabs>
        <w:tab w:val="left" w:pos="3402"/>
        <w:tab w:val="left" w:pos="4536"/>
        <w:tab w:val="left" w:pos="5670"/>
        <w:tab w:val="left" w:pos="6804"/>
        <w:tab w:val="left" w:pos="7938"/>
        <w:tab w:val="left" w:pos="9072"/>
        <w:tab w:val="left" w:pos="10206"/>
      </w:tabs>
      <w:spacing w:before="120" w:after="60"/>
      <w:ind w:left="2835"/>
    </w:pPr>
  </w:style>
  <w:style w:type="paragraph" w:customStyle="1" w:styleId="Normlntlust1">
    <w:name w:val="Normální tlustý1"/>
    <w:basedOn w:val="Normln"/>
    <w:next w:val="Normln"/>
    <w:rsid w:val="0047565B"/>
    <w:pPr>
      <w:keepLines/>
      <w:spacing w:before="240" w:after="240"/>
    </w:pPr>
    <w:rPr>
      <w:b/>
      <w:sz w:val="32"/>
    </w:rPr>
  </w:style>
  <w:style w:type="paragraph" w:customStyle="1" w:styleId="Normlntlust2">
    <w:name w:val="Normální tlustý2"/>
    <w:basedOn w:val="Normlntlust1"/>
    <w:next w:val="Normln"/>
    <w:rsid w:val="0047565B"/>
    <w:rPr>
      <w:sz w:val="28"/>
    </w:rPr>
  </w:style>
  <w:style w:type="paragraph" w:customStyle="1" w:styleId="Styl1">
    <w:name w:val="Styl1"/>
    <w:basedOn w:val="Normlntlust2"/>
    <w:next w:val="Normln"/>
    <w:rsid w:val="0047565B"/>
    <w:rPr>
      <w:sz w:val="24"/>
    </w:rPr>
  </w:style>
  <w:style w:type="paragraph" w:customStyle="1" w:styleId="Normlntlust3">
    <w:name w:val="Normální tlustý3"/>
    <w:basedOn w:val="Normlntlust2"/>
    <w:next w:val="Normln"/>
    <w:rsid w:val="0047565B"/>
    <w:pPr>
      <w:spacing w:before="120" w:after="120"/>
    </w:pPr>
    <w:rPr>
      <w:sz w:val="24"/>
    </w:rPr>
  </w:style>
  <w:style w:type="paragraph" w:customStyle="1" w:styleId="Normlntlust4">
    <w:name w:val="Normální tlustý4"/>
    <w:basedOn w:val="Normlntlust3"/>
    <w:rsid w:val="0047565B"/>
    <w:rPr>
      <w:sz w:val="22"/>
    </w:rPr>
  </w:style>
  <w:style w:type="paragraph" w:customStyle="1" w:styleId="Normlntlust5">
    <w:name w:val="Normální tlustý5"/>
    <w:basedOn w:val="Normlntlust4"/>
    <w:next w:val="Normln"/>
    <w:rsid w:val="0047565B"/>
    <w:pPr>
      <w:spacing w:before="60" w:after="60"/>
    </w:pPr>
    <w:rPr>
      <w:sz w:val="20"/>
    </w:rPr>
  </w:style>
  <w:style w:type="paragraph" w:customStyle="1" w:styleId="Normlntlust6">
    <w:name w:val="Normální tlustý6"/>
    <w:basedOn w:val="Normlntlust5"/>
    <w:next w:val="Normln"/>
    <w:rsid w:val="0047565B"/>
    <w:pPr>
      <w:keepLines w:val="0"/>
      <w:spacing w:line="240" w:lineRule="auto"/>
    </w:pPr>
    <w:rPr>
      <w:i/>
    </w:rPr>
  </w:style>
  <w:style w:type="paragraph" w:customStyle="1" w:styleId="Seznamsodrkami">
    <w:name w:val="Seznam s odrážkami~"/>
    <w:basedOn w:val="Normln"/>
    <w:rsid w:val="0047565B"/>
    <w:pPr>
      <w:tabs>
        <w:tab w:val="left" w:pos="636"/>
        <w:tab w:val="left" w:pos="774"/>
        <w:tab w:val="left" w:pos="1908"/>
        <w:tab w:val="left" w:pos="3042"/>
        <w:tab w:val="left" w:pos="4176"/>
        <w:tab w:val="left" w:pos="5310"/>
        <w:tab w:val="left" w:pos="6444"/>
        <w:tab w:val="left" w:pos="7578"/>
        <w:tab w:val="left" w:pos="8712"/>
        <w:tab w:val="left" w:pos="9846"/>
      </w:tabs>
      <w:autoSpaceDE/>
      <w:spacing w:before="62" w:after="60" w:line="240" w:lineRule="auto"/>
    </w:pPr>
    <w:rPr>
      <w:rFonts w:ascii="Verdana" w:hAnsi="Verdana" w:cs="Times New Roman"/>
    </w:rPr>
  </w:style>
  <w:style w:type="paragraph" w:styleId="Textpoznpodarou">
    <w:name w:val="footnote text"/>
    <w:basedOn w:val="Normln"/>
    <w:semiHidden/>
    <w:rsid w:val="0047565B"/>
    <w:pPr>
      <w:tabs>
        <w:tab w:val="left" w:pos="1134"/>
        <w:tab w:val="left" w:pos="2268"/>
        <w:tab w:val="left" w:pos="3402"/>
        <w:tab w:val="left" w:pos="4536"/>
        <w:tab w:val="left" w:pos="5670"/>
        <w:tab w:val="left" w:pos="6804"/>
        <w:tab w:val="left" w:pos="7938"/>
        <w:tab w:val="left" w:pos="9072"/>
        <w:tab w:val="left" w:pos="10206"/>
      </w:tabs>
      <w:autoSpaceDE/>
      <w:spacing w:before="62" w:after="60" w:line="240" w:lineRule="auto"/>
    </w:pPr>
    <w:rPr>
      <w:rFonts w:ascii="Verdana" w:hAnsi="Verdana" w:cs="Times New Roman"/>
    </w:rPr>
  </w:style>
  <w:style w:type="paragraph" w:customStyle="1" w:styleId="WW-Titulek">
    <w:name w:val="WW-Titulek"/>
    <w:basedOn w:val="Normln"/>
    <w:rsid w:val="0047565B"/>
    <w:pPr>
      <w:tabs>
        <w:tab w:val="left" w:pos="1134"/>
        <w:tab w:val="left" w:pos="2268"/>
        <w:tab w:val="left" w:pos="3402"/>
        <w:tab w:val="left" w:pos="4536"/>
        <w:tab w:val="left" w:pos="5670"/>
        <w:tab w:val="left" w:pos="6804"/>
        <w:tab w:val="left" w:pos="7938"/>
        <w:tab w:val="left" w:pos="9072"/>
        <w:tab w:val="left" w:pos="10206"/>
      </w:tabs>
      <w:autoSpaceDE/>
      <w:spacing w:before="62" w:line="240" w:lineRule="auto"/>
    </w:pPr>
    <w:rPr>
      <w:rFonts w:ascii="Verdana" w:hAnsi="Verdana" w:cs="Times New Roman"/>
      <w:b/>
    </w:rPr>
  </w:style>
  <w:style w:type="paragraph" w:customStyle="1" w:styleId="Tabulka1">
    <w:name w:val="Tabulka 1"/>
    <w:basedOn w:val="Normln"/>
    <w:rsid w:val="0047565B"/>
    <w:pPr>
      <w:tabs>
        <w:tab w:val="left" w:pos="1134"/>
        <w:tab w:val="left" w:pos="2268"/>
        <w:tab w:val="left" w:pos="3402"/>
        <w:tab w:val="left" w:pos="4536"/>
        <w:tab w:val="left" w:pos="5670"/>
        <w:tab w:val="left" w:pos="6804"/>
        <w:tab w:val="left" w:pos="7938"/>
        <w:tab w:val="left" w:pos="9072"/>
        <w:tab w:val="left" w:pos="10206"/>
      </w:tabs>
      <w:autoSpaceDE/>
      <w:spacing w:line="240" w:lineRule="auto"/>
      <w:jc w:val="left"/>
    </w:pPr>
    <w:rPr>
      <w:rFonts w:ascii="Verdana" w:hAnsi="Verdana" w:cs="Times New Roman"/>
    </w:rPr>
  </w:style>
  <w:style w:type="paragraph" w:customStyle="1" w:styleId="Tabulka2">
    <w:name w:val="Tabulka 2"/>
    <w:basedOn w:val="Tabulka1"/>
    <w:rsid w:val="0047565B"/>
    <w:pPr>
      <w:jc w:val="center"/>
    </w:pPr>
  </w:style>
  <w:style w:type="paragraph" w:customStyle="1" w:styleId="Tabulka4">
    <w:name w:val="Tabulka 4"/>
    <w:basedOn w:val="Tabulka2"/>
    <w:rsid w:val="0047565B"/>
    <w:rPr>
      <w:b/>
    </w:rPr>
  </w:style>
  <w:style w:type="paragraph" w:customStyle="1" w:styleId="Obsahtabulky">
    <w:name w:val="Obsah tabulky"/>
    <w:basedOn w:val="Zkladntext"/>
    <w:rsid w:val="0047565B"/>
    <w:pPr>
      <w:suppressLineNumbers/>
    </w:pPr>
  </w:style>
  <w:style w:type="paragraph" w:customStyle="1" w:styleId="WW-Obsahtabulky">
    <w:name w:val="WW-Obsah tabulky"/>
    <w:basedOn w:val="Zkladntext"/>
    <w:rsid w:val="0047565B"/>
    <w:pPr>
      <w:suppressLineNumbers/>
    </w:pPr>
  </w:style>
  <w:style w:type="paragraph" w:customStyle="1" w:styleId="Nadpistabulky">
    <w:name w:val="Nadpis tabulky"/>
    <w:basedOn w:val="Obsahtabulky"/>
    <w:rsid w:val="0047565B"/>
    <w:pPr>
      <w:jc w:val="center"/>
    </w:pPr>
    <w:rPr>
      <w:b/>
      <w:bCs/>
      <w:i/>
      <w:iCs/>
    </w:rPr>
  </w:style>
  <w:style w:type="paragraph" w:customStyle="1" w:styleId="WW-Nadpistabulky">
    <w:name w:val="WW-Nadpis tabulky"/>
    <w:basedOn w:val="WW-Obsahtabulky"/>
    <w:rsid w:val="0047565B"/>
    <w:pPr>
      <w:jc w:val="center"/>
    </w:pPr>
    <w:rPr>
      <w:b/>
      <w:bCs/>
      <w:i/>
      <w:iCs/>
    </w:rPr>
  </w:style>
  <w:style w:type="paragraph" w:customStyle="1" w:styleId="WW-Zkladntext2">
    <w:name w:val="WW-Základní text 2"/>
    <w:basedOn w:val="Normln"/>
    <w:rsid w:val="0047565B"/>
    <w:rPr>
      <w:color w:val="000000"/>
    </w:rPr>
  </w:style>
  <w:style w:type="paragraph" w:customStyle="1" w:styleId="WW-NormlnsWWW">
    <w:name w:val="WW-Normální (síť WWW)"/>
    <w:basedOn w:val="Normln"/>
    <w:rsid w:val="0047565B"/>
    <w:pPr>
      <w:widowControl/>
      <w:suppressAutoHyphens w:val="0"/>
      <w:autoSpaceDE/>
      <w:spacing w:before="280" w:after="119" w:line="240" w:lineRule="auto"/>
      <w:jc w:val="left"/>
    </w:pPr>
    <w:rPr>
      <w:rFonts w:ascii="Times New Roman" w:hAnsi="Times New Roman" w:cs="Times New Roman"/>
      <w:szCs w:val="24"/>
    </w:rPr>
  </w:style>
  <w:style w:type="paragraph" w:styleId="Zhlav">
    <w:name w:val="header"/>
    <w:basedOn w:val="Normln"/>
    <w:semiHidden/>
    <w:rsid w:val="0047565B"/>
    <w:pPr>
      <w:tabs>
        <w:tab w:val="center" w:pos="4536"/>
        <w:tab w:val="right" w:pos="9072"/>
      </w:tabs>
    </w:pPr>
  </w:style>
  <w:style w:type="paragraph" w:styleId="Zpat">
    <w:name w:val="footer"/>
    <w:basedOn w:val="Normln"/>
    <w:semiHidden/>
    <w:rsid w:val="0047565B"/>
    <w:pPr>
      <w:tabs>
        <w:tab w:val="center" w:pos="4536"/>
        <w:tab w:val="right" w:pos="9072"/>
      </w:tabs>
    </w:pPr>
  </w:style>
  <w:style w:type="paragraph" w:styleId="Odstavecseseznamem">
    <w:name w:val="List Paragraph"/>
    <w:basedOn w:val="Normln"/>
    <w:uiPriority w:val="34"/>
    <w:qFormat/>
    <w:rsid w:val="0062209C"/>
    <w:pPr>
      <w:ind w:left="720"/>
      <w:contextualSpacing/>
    </w:pPr>
  </w:style>
  <w:style w:type="character" w:customStyle="1" w:styleId="Nadpis1Char">
    <w:name w:val="Nadpis 1 Char"/>
    <w:basedOn w:val="Standardnpsmoodstavce"/>
    <w:link w:val="Nadpis1"/>
    <w:rsid w:val="003B0847"/>
    <w:rPr>
      <w:rFonts w:asciiTheme="minorHAnsi" w:eastAsiaTheme="majorEastAsia" w:hAnsiTheme="minorHAnsi" w:cs="Arial"/>
      <w:b/>
      <w:bCs/>
      <w:caps/>
      <w:kern w:val="28"/>
      <w:sz w:val="32"/>
      <w:szCs w:val="32"/>
      <w:lang w:eastAsia="ar-SA"/>
    </w:rPr>
  </w:style>
  <w:style w:type="character" w:customStyle="1" w:styleId="Nadpis2Char">
    <w:name w:val="Nadpis 2 Char"/>
    <w:basedOn w:val="Standardnpsmoodstavce"/>
    <w:link w:val="Nadpis2"/>
    <w:rsid w:val="003B0847"/>
    <w:rPr>
      <w:rFonts w:ascii="Calibri" w:eastAsiaTheme="majorEastAsia" w:hAnsi="Calibri" w:cs="Arial"/>
      <w:b/>
      <w:bCs/>
      <w:kern w:val="28"/>
      <w:sz w:val="28"/>
      <w:szCs w:val="32"/>
      <w:lang w:eastAsia="ar-SA"/>
    </w:rPr>
  </w:style>
  <w:style w:type="character" w:customStyle="1" w:styleId="Nadpis3Char">
    <w:name w:val="Nadpis 3 Char"/>
    <w:basedOn w:val="Standardnpsmoodstavce"/>
    <w:link w:val="Nadpis3"/>
    <w:rsid w:val="0062209C"/>
    <w:rPr>
      <w:rFonts w:ascii="Calibri" w:eastAsiaTheme="majorEastAsia" w:hAnsi="Calibri"/>
      <w:b/>
      <w:bCs/>
      <w:kern w:val="28"/>
      <w:sz w:val="24"/>
      <w:szCs w:val="32"/>
      <w:lang w:eastAsia="ar-SA"/>
    </w:rPr>
  </w:style>
  <w:style w:type="character" w:customStyle="1" w:styleId="Nadpis4Char">
    <w:name w:val="Nadpis 4 Char"/>
    <w:basedOn w:val="Standardnpsmoodstavce"/>
    <w:link w:val="Nadpis4"/>
    <w:rsid w:val="0062209C"/>
    <w:rPr>
      <w:b/>
      <w:bCs/>
      <w:sz w:val="28"/>
      <w:szCs w:val="28"/>
      <w:lang w:eastAsia="ar-SA"/>
    </w:rPr>
  </w:style>
  <w:style w:type="character" w:customStyle="1" w:styleId="Nadpis5Char">
    <w:name w:val="Nadpis 5 Char"/>
    <w:basedOn w:val="Standardnpsmoodstavce"/>
    <w:link w:val="Nadpis5"/>
    <w:rsid w:val="0062209C"/>
    <w:rPr>
      <w:b/>
      <w:bCs/>
      <w:i/>
      <w:iCs/>
      <w:sz w:val="26"/>
      <w:szCs w:val="26"/>
      <w:lang w:eastAsia="ar-SA"/>
    </w:rPr>
  </w:style>
  <w:style w:type="character" w:customStyle="1" w:styleId="Nadpis6Char">
    <w:name w:val="Nadpis 6 Char"/>
    <w:basedOn w:val="Standardnpsmoodstavce"/>
    <w:link w:val="Nadpis6"/>
    <w:rsid w:val="0062209C"/>
    <w:rPr>
      <w:b/>
      <w:bCs/>
      <w:sz w:val="22"/>
      <w:szCs w:val="22"/>
      <w:lang w:eastAsia="ar-SA"/>
    </w:rPr>
  </w:style>
  <w:style w:type="character" w:customStyle="1" w:styleId="Nadpis7Char">
    <w:name w:val="Nadpis 7 Char"/>
    <w:basedOn w:val="Standardnpsmoodstavce"/>
    <w:link w:val="Nadpis7"/>
    <w:uiPriority w:val="9"/>
    <w:semiHidden/>
    <w:rsid w:val="0062209C"/>
    <w:rPr>
      <w:rFonts w:asciiTheme="majorHAnsi" w:eastAsiaTheme="majorEastAsia" w:hAnsiTheme="majorHAnsi" w:cstheme="majorBidi"/>
      <w:i/>
      <w:iCs/>
      <w:color w:val="404040" w:themeColor="text1" w:themeTint="BF"/>
      <w:sz w:val="24"/>
      <w:lang w:eastAsia="ar-SA"/>
    </w:rPr>
  </w:style>
  <w:style w:type="character" w:customStyle="1" w:styleId="Nadpis8Char">
    <w:name w:val="Nadpis 8 Char"/>
    <w:basedOn w:val="Standardnpsmoodstavce"/>
    <w:link w:val="Nadpis8"/>
    <w:uiPriority w:val="9"/>
    <w:semiHidden/>
    <w:rsid w:val="0062209C"/>
    <w:rPr>
      <w:rFonts w:asciiTheme="majorHAnsi" w:eastAsiaTheme="majorEastAsia" w:hAnsiTheme="majorHAnsi" w:cstheme="majorBidi"/>
      <w:color w:val="404040" w:themeColor="text1" w:themeTint="BF"/>
      <w:lang w:eastAsia="ar-SA"/>
    </w:rPr>
  </w:style>
  <w:style w:type="character" w:customStyle="1" w:styleId="Nadpis9Char">
    <w:name w:val="Nadpis 9 Char"/>
    <w:basedOn w:val="Standardnpsmoodstavce"/>
    <w:link w:val="Nadpis9"/>
    <w:uiPriority w:val="9"/>
    <w:semiHidden/>
    <w:rsid w:val="0062209C"/>
    <w:rPr>
      <w:rFonts w:asciiTheme="majorHAnsi" w:eastAsiaTheme="majorEastAsia" w:hAnsiTheme="majorHAnsi" w:cstheme="majorBidi"/>
      <w:i/>
      <w:iCs/>
      <w:color w:val="404040" w:themeColor="text1" w:themeTint="BF"/>
      <w:lang w:eastAsia="ar-SA"/>
    </w:rPr>
  </w:style>
  <w:style w:type="paragraph" w:styleId="Bezmezer">
    <w:name w:val="No Spacing"/>
    <w:uiPriority w:val="1"/>
    <w:qFormat/>
    <w:rsid w:val="0062209C"/>
    <w:pPr>
      <w:widowControl w:val="0"/>
      <w:suppressAutoHyphens/>
      <w:autoSpaceDE w:val="0"/>
      <w:ind w:firstLine="284"/>
      <w:jc w:val="both"/>
    </w:pPr>
    <w:rPr>
      <w:rFonts w:asciiTheme="minorHAnsi" w:hAnsiTheme="minorHAnsi" w:cs="Arial"/>
      <w:sz w:val="24"/>
      <w:lang w:eastAsia="ar-SA"/>
    </w:rPr>
  </w:style>
  <w:style w:type="character" w:styleId="Hypertextovodkaz">
    <w:name w:val="Hyperlink"/>
    <w:basedOn w:val="Standardnpsmoodstavce"/>
    <w:uiPriority w:val="99"/>
    <w:semiHidden/>
    <w:unhideWhenUsed/>
    <w:rsid w:val="00A43AA5"/>
    <w:rPr>
      <w:color w:val="0000FF"/>
      <w:u w:val="single"/>
    </w:rPr>
  </w:style>
  <w:style w:type="character" w:styleId="Siln">
    <w:name w:val="Strong"/>
    <w:basedOn w:val="Standardnpsmoodstavce"/>
    <w:uiPriority w:val="22"/>
    <w:qFormat/>
    <w:rsid w:val="00B63C3C"/>
    <w:rPr>
      <w:b/>
      <w:bCs/>
    </w:rPr>
  </w:style>
  <w:style w:type="paragraph" w:styleId="Normlnweb">
    <w:name w:val="Normal (Web)"/>
    <w:basedOn w:val="Normln"/>
    <w:uiPriority w:val="99"/>
    <w:semiHidden/>
    <w:unhideWhenUsed/>
    <w:rsid w:val="00B63C3C"/>
    <w:pPr>
      <w:widowControl/>
      <w:suppressAutoHyphens w:val="0"/>
      <w:autoSpaceDE/>
      <w:spacing w:before="100" w:beforeAutospacing="1" w:after="100" w:afterAutospacing="1" w:line="240" w:lineRule="auto"/>
      <w:ind w:firstLine="0"/>
      <w:jc w:val="left"/>
    </w:pPr>
    <w:rPr>
      <w:rFonts w:ascii="Times New Roman" w:hAnsi="Times New Roman" w:cs="Times New Roman"/>
      <w:szCs w:val="24"/>
      <w:lang w:eastAsia="cs-CZ"/>
    </w:rPr>
  </w:style>
  <w:style w:type="character" w:customStyle="1" w:styleId="apple-converted-space">
    <w:name w:val="apple-converted-space"/>
    <w:basedOn w:val="Standardnpsmoodstavce"/>
    <w:rsid w:val="00B63C3C"/>
  </w:style>
  <w:style w:type="paragraph" w:customStyle="1" w:styleId="Zkladntext2">
    <w:name w:val="Základní text2"/>
    <w:basedOn w:val="Normln"/>
    <w:qFormat/>
    <w:rsid w:val="00DF2F79"/>
    <w:pPr>
      <w:keepNext/>
      <w:shd w:val="clear" w:color="auto" w:fill="FFFFFF"/>
      <w:autoSpaceDE/>
      <w:spacing w:before="180" w:after="300" w:line="295" w:lineRule="exact"/>
      <w:ind w:hanging="720"/>
    </w:pPr>
    <w:rPr>
      <w:rFonts w:ascii="Franklin Gothic Book" w:eastAsia="Franklin Gothic Book" w:hAnsi="Franklin Gothic Book" w:cs="Franklin Gothic Book"/>
      <w:color w:val="000000"/>
      <w:sz w:val="21"/>
      <w:szCs w:val="21"/>
      <w:lang w:eastAsia="zh-CN" w:bidi="hi-IN"/>
    </w:rPr>
  </w:style>
  <w:style w:type="paragraph" w:customStyle="1" w:styleId="Nadpis10">
    <w:name w:val="Nadpis #1"/>
    <w:basedOn w:val="Normln"/>
    <w:qFormat/>
    <w:rsid w:val="002E1DB9"/>
    <w:pPr>
      <w:keepNext/>
      <w:shd w:val="clear" w:color="auto" w:fill="FFFFFF"/>
      <w:autoSpaceDE/>
      <w:spacing w:after="180" w:line="240" w:lineRule="auto"/>
      <w:ind w:firstLine="0"/>
      <w:outlineLvl w:val="0"/>
    </w:pPr>
    <w:rPr>
      <w:rFonts w:ascii="Franklin Gothic Book" w:eastAsia="Franklin Gothic Book" w:hAnsi="Franklin Gothic Book" w:cs="Franklin Gothic Book"/>
      <w:color w:val="000000"/>
      <w:sz w:val="27"/>
      <w:szCs w:val="27"/>
      <w:lang w:eastAsia="zh-CN" w:bidi="hi-IN"/>
    </w:rPr>
  </w:style>
  <w:style w:type="paragraph" w:customStyle="1" w:styleId="Zkladntext20">
    <w:name w:val="Základní text (2)"/>
    <w:basedOn w:val="Normln"/>
    <w:qFormat/>
    <w:rsid w:val="002E1DB9"/>
    <w:pPr>
      <w:keepNext/>
      <w:shd w:val="clear" w:color="auto" w:fill="FFFFFF"/>
      <w:autoSpaceDE/>
      <w:spacing w:before="300" w:after="0" w:line="364" w:lineRule="exact"/>
      <w:ind w:firstLine="0"/>
    </w:pPr>
    <w:rPr>
      <w:rFonts w:ascii="Arial" w:eastAsia="Arial" w:hAnsi="Arial"/>
      <w:b/>
      <w:bCs/>
      <w:color w:val="000000"/>
      <w:sz w:val="18"/>
      <w:szCs w:val="18"/>
      <w:lang w:eastAsia="zh-CN" w:bidi="hi-IN"/>
    </w:rPr>
  </w:style>
  <w:style w:type="paragraph" w:styleId="Textbubliny">
    <w:name w:val="Balloon Text"/>
    <w:basedOn w:val="Normln"/>
    <w:link w:val="TextbublinyChar"/>
    <w:uiPriority w:val="99"/>
    <w:semiHidden/>
    <w:unhideWhenUsed/>
    <w:rsid w:val="008141B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141BE"/>
    <w:rPr>
      <w:rFonts w:ascii="Tahoma" w:hAnsi="Tahoma" w:cs="Tahoma"/>
      <w:sz w:val="16"/>
      <w:szCs w:val="16"/>
      <w:lang w:eastAsia="ar-SA"/>
    </w:rPr>
  </w:style>
  <w:style w:type="character" w:styleId="Odkaznakoment">
    <w:name w:val="annotation reference"/>
    <w:basedOn w:val="Standardnpsmoodstavce"/>
    <w:uiPriority w:val="99"/>
    <w:semiHidden/>
    <w:unhideWhenUsed/>
    <w:rsid w:val="00481999"/>
    <w:rPr>
      <w:sz w:val="16"/>
      <w:szCs w:val="16"/>
    </w:rPr>
  </w:style>
  <w:style w:type="paragraph" w:styleId="Textkomente">
    <w:name w:val="annotation text"/>
    <w:basedOn w:val="Normln"/>
    <w:link w:val="TextkomenteChar"/>
    <w:uiPriority w:val="99"/>
    <w:semiHidden/>
    <w:unhideWhenUsed/>
    <w:rsid w:val="00481999"/>
    <w:pPr>
      <w:spacing w:line="240" w:lineRule="auto"/>
    </w:pPr>
    <w:rPr>
      <w:sz w:val="20"/>
    </w:rPr>
  </w:style>
  <w:style w:type="character" w:customStyle="1" w:styleId="TextkomenteChar">
    <w:name w:val="Text komentáře Char"/>
    <w:basedOn w:val="Standardnpsmoodstavce"/>
    <w:link w:val="Textkomente"/>
    <w:uiPriority w:val="99"/>
    <w:semiHidden/>
    <w:rsid w:val="00481999"/>
    <w:rPr>
      <w:rFonts w:asciiTheme="minorHAnsi" w:hAnsiTheme="minorHAnsi" w:cs="Arial"/>
      <w:lang w:eastAsia="ar-SA"/>
    </w:rPr>
  </w:style>
  <w:style w:type="paragraph" w:styleId="Pedmtkomente">
    <w:name w:val="annotation subject"/>
    <w:basedOn w:val="Textkomente"/>
    <w:next w:val="Textkomente"/>
    <w:link w:val="PedmtkomenteChar"/>
    <w:uiPriority w:val="99"/>
    <w:semiHidden/>
    <w:unhideWhenUsed/>
    <w:rsid w:val="00481999"/>
    <w:rPr>
      <w:b/>
      <w:bCs/>
    </w:rPr>
  </w:style>
  <w:style w:type="character" w:customStyle="1" w:styleId="PedmtkomenteChar">
    <w:name w:val="Předmět komentáře Char"/>
    <w:basedOn w:val="TextkomenteChar"/>
    <w:link w:val="Pedmtkomente"/>
    <w:uiPriority w:val="99"/>
    <w:semiHidden/>
    <w:rsid w:val="00481999"/>
    <w:rPr>
      <w:rFonts w:asciiTheme="minorHAnsi" w:hAnsiTheme="minorHAnsi" w:cs="Arial"/>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432836">
      <w:bodyDiv w:val="1"/>
      <w:marLeft w:val="0"/>
      <w:marRight w:val="0"/>
      <w:marTop w:val="0"/>
      <w:marBottom w:val="0"/>
      <w:divBdr>
        <w:top w:val="none" w:sz="0" w:space="0" w:color="auto"/>
        <w:left w:val="none" w:sz="0" w:space="0" w:color="auto"/>
        <w:bottom w:val="none" w:sz="0" w:space="0" w:color="auto"/>
        <w:right w:val="none" w:sz="0" w:space="0" w:color="auto"/>
      </w:divBdr>
    </w:div>
    <w:div w:id="150602334">
      <w:bodyDiv w:val="1"/>
      <w:marLeft w:val="0"/>
      <w:marRight w:val="0"/>
      <w:marTop w:val="0"/>
      <w:marBottom w:val="0"/>
      <w:divBdr>
        <w:top w:val="none" w:sz="0" w:space="0" w:color="auto"/>
        <w:left w:val="none" w:sz="0" w:space="0" w:color="auto"/>
        <w:bottom w:val="none" w:sz="0" w:space="0" w:color="auto"/>
        <w:right w:val="none" w:sz="0" w:space="0" w:color="auto"/>
      </w:divBdr>
    </w:div>
    <w:div w:id="200627531">
      <w:bodyDiv w:val="1"/>
      <w:marLeft w:val="0"/>
      <w:marRight w:val="0"/>
      <w:marTop w:val="0"/>
      <w:marBottom w:val="0"/>
      <w:divBdr>
        <w:top w:val="none" w:sz="0" w:space="0" w:color="auto"/>
        <w:left w:val="none" w:sz="0" w:space="0" w:color="auto"/>
        <w:bottom w:val="none" w:sz="0" w:space="0" w:color="auto"/>
        <w:right w:val="none" w:sz="0" w:space="0" w:color="auto"/>
      </w:divBdr>
    </w:div>
    <w:div w:id="418019210">
      <w:bodyDiv w:val="1"/>
      <w:marLeft w:val="0"/>
      <w:marRight w:val="0"/>
      <w:marTop w:val="0"/>
      <w:marBottom w:val="0"/>
      <w:divBdr>
        <w:top w:val="none" w:sz="0" w:space="0" w:color="auto"/>
        <w:left w:val="none" w:sz="0" w:space="0" w:color="auto"/>
        <w:bottom w:val="none" w:sz="0" w:space="0" w:color="auto"/>
        <w:right w:val="none" w:sz="0" w:space="0" w:color="auto"/>
      </w:divBdr>
    </w:div>
    <w:div w:id="513611195">
      <w:bodyDiv w:val="1"/>
      <w:marLeft w:val="0"/>
      <w:marRight w:val="0"/>
      <w:marTop w:val="0"/>
      <w:marBottom w:val="0"/>
      <w:divBdr>
        <w:top w:val="none" w:sz="0" w:space="0" w:color="auto"/>
        <w:left w:val="none" w:sz="0" w:space="0" w:color="auto"/>
        <w:bottom w:val="none" w:sz="0" w:space="0" w:color="auto"/>
        <w:right w:val="none" w:sz="0" w:space="0" w:color="auto"/>
      </w:divBdr>
      <w:divsChild>
        <w:div w:id="1333296617">
          <w:marLeft w:val="0"/>
          <w:marRight w:val="0"/>
          <w:marTop w:val="120"/>
          <w:marBottom w:val="0"/>
          <w:divBdr>
            <w:top w:val="none" w:sz="0" w:space="0" w:color="auto"/>
            <w:left w:val="none" w:sz="0" w:space="0" w:color="auto"/>
            <w:bottom w:val="none" w:sz="0" w:space="0" w:color="auto"/>
            <w:right w:val="none" w:sz="0" w:space="0" w:color="auto"/>
          </w:divBdr>
        </w:div>
        <w:div w:id="118648474">
          <w:marLeft w:val="0"/>
          <w:marRight w:val="0"/>
          <w:marTop w:val="120"/>
          <w:marBottom w:val="0"/>
          <w:divBdr>
            <w:top w:val="none" w:sz="0" w:space="0" w:color="auto"/>
            <w:left w:val="none" w:sz="0" w:space="0" w:color="auto"/>
            <w:bottom w:val="none" w:sz="0" w:space="0" w:color="auto"/>
            <w:right w:val="none" w:sz="0" w:space="0" w:color="auto"/>
          </w:divBdr>
        </w:div>
        <w:div w:id="314067744">
          <w:marLeft w:val="0"/>
          <w:marRight w:val="0"/>
          <w:marTop w:val="120"/>
          <w:marBottom w:val="0"/>
          <w:divBdr>
            <w:top w:val="none" w:sz="0" w:space="0" w:color="auto"/>
            <w:left w:val="none" w:sz="0" w:space="0" w:color="auto"/>
            <w:bottom w:val="none" w:sz="0" w:space="0" w:color="auto"/>
            <w:right w:val="none" w:sz="0" w:space="0" w:color="auto"/>
          </w:divBdr>
        </w:div>
      </w:divsChild>
    </w:div>
    <w:div w:id="607195873">
      <w:bodyDiv w:val="1"/>
      <w:marLeft w:val="0"/>
      <w:marRight w:val="0"/>
      <w:marTop w:val="0"/>
      <w:marBottom w:val="0"/>
      <w:divBdr>
        <w:top w:val="none" w:sz="0" w:space="0" w:color="auto"/>
        <w:left w:val="none" w:sz="0" w:space="0" w:color="auto"/>
        <w:bottom w:val="none" w:sz="0" w:space="0" w:color="auto"/>
        <w:right w:val="none" w:sz="0" w:space="0" w:color="auto"/>
      </w:divBdr>
    </w:div>
    <w:div w:id="659502171">
      <w:bodyDiv w:val="1"/>
      <w:marLeft w:val="0"/>
      <w:marRight w:val="0"/>
      <w:marTop w:val="0"/>
      <w:marBottom w:val="0"/>
      <w:divBdr>
        <w:top w:val="none" w:sz="0" w:space="0" w:color="auto"/>
        <w:left w:val="none" w:sz="0" w:space="0" w:color="auto"/>
        <w:bottom w:val="none" w:sz="0" w:space="0" w:color="auto"/>
        <w:right w:val="none" w:sz="0" w:space="0" w:color="auto"/>
      </w:divBdr>
    </w:div>
    <w:div w:id="853804120">
      <w:bodyDiv w:val="1"/>
      <w:marLeft w:val="0"/>
      <w:marRight w:val="0"/>
      <w:marTop w:val="0"/>
      <w:marBottom w:val="0"/>
      <w:divBdr>
        <w:top w:val="none" w:sz="0" w:space="0" w:color="auto"/>
        <w:left w:val="none" w:sz="0" w:space="0" w:color="auto"/>
        <w:bottom w:val="none" w:sz="0" w:space="0" w:color="auto"/>
        <w:right w:val="none" w:sz="0" w:space="0" w:color="auto"/>
      </w:divBdr>
    </w:div>
    <w:div w:id="916553582">
      <w:bodyDiv w:val="1"/>
      <w:marLeft w:val="0"/>
      <w:marRight w:val="0"/>
      <w:marTop w:val="0"/>
      <w:marBottom w:val="0"/>
      <w:divBdr>
        <w:top w:val="none" w:sz="0" w:space="0" w:color="auto"/>
        <w:left w:val="none" w:sz="0" w:space="0" w:color="auto"/>
        <w:bottom w:val="none" w:sz="0" w:space="0" w:color="auto"/>
        <w:right w:val="none" w:sz="0" w:space="0" w:color="auto"/>
      </w:divBdr>
    </w:div>
    <w:div w:id="1199852759">
      <w:bodyDiv w:val="1"/>
      <w:marLeft w:val="0"/>
      <w:marRight w:val="0"/>
      <w:marTop w:val="0"/>
      <w:marBottom w:val="0"/>
      <w:divBdr>
        <w:top w:val="none" w:sz="0" w:space="0" w:color="auto"/>
        <w:left w:val="none" w:sz="0" w:space="0" w:color="auto"/>
        <w:bottom w:val="none" w:sz="0" w:space="0" w:color="auto"/>
        <w:right w:val="none" w:sz="0" w:space="0" w:color="auto"/>
      </w:divBdr>
    </w:div>
    <w:div w:id="1249969206">
      <w:bodyDiv w:val="1"/>
      <w:marLeft w:val="0"/>
      <w:marRight w:val="0"/>
      <w:marTop w:val="0"/>
      <w:marBottom w:val="0"/>
      <w:divBdr>
        <w:top w:val="none" w:sz="0" w:space="0" w:color="auto"/>
        <w:left w:val="none" w:sz="0" w:space="0" w:color="auto"/>
        <w:bottom w:val="none" w:sz="0" w:space="0" w:color="auto"/>
        <w:right w:val="none" w:sz="0" w:space="0" w:color="auto"/>
      </w:divBdr>
    </w:div>
    <w:div w:id="1318415341">
      <w:bodyDiv w:val="1"/>
      <w:marLeft w:val="0"/>
      <w:marRight w:val="0"/>
      <w:marTop w:val="0"/>
      <w:marBottom w:val="0"/>
      <w:divBdr>
        <w:top w:val="none" w:sz="0" w:space="0" w:color="auto"/>
        <w:left w:val="none" w:sz="0" w:space="0" w:color="auto"/>
        <w:bottom w:val="none" w:sz="0" w:space="0" w:color="auto"/>
        <w:right w:val="none" w:sz="0" w:space="0" w:color="auto"/>
      </w:divBdr>
    </w:div>
    <w:div w:id="1330140705">
      <w:bodyDiv w:val="1"/>
      <w:marLeft w:val="0"/>
      <w:marRight w:val="0"/>
      <w:marTop w:val="0"/>
      <w:marBottom w:val="0"/>
      <w:divBdr>
        <w:top w:val="none" w:sz="0" w:space="0" w:color="auto"/>
        <w:left w:val="none" w:sz="0" w:space="0" w:color="auto"/>
        <w:bottom w:val="none" w:sz="0" w:space="0" w:color="auto"/>
        <w:right w:val="none" w:sz="0" w:space="0" w:color="auto"/>
      </w:divBdr>
    </w:div>
    <w:div w:id="1380208976">
      <w:bodyDiv w:val="1"/>
      <w:marLeft w:val="0"/>
      <w:marRight w:val="0"/>
      <w:marTop w:val="0"/>
      <w:marBottom w:val="0"/>
      <w:divBdr>
        <w:top w:val="none" w:sz="0" w:space="0" w:color="auto"/>
        <w:left w:val="none" w:sz="0" w:space="0" w:color="auto"/>
        <w:bottom w:val="none" w:sz="0" w:space="0" w:color="auto"/>
        <w:right w:val="none" w:sz="0" w:space="0" w:color="auto"/>
      </w:divBdr>
    </w:div>
    <w:div w:id="1519611874">
      <w:bodyDiv w:val="1"/>
      <w:marLeft w:val="0"/>
      <w:marRight w:val="0"/>
      <w:marTop w:val="0"/>
      <w:marBottom w:val="0"/>
      <w:divBdr>
        <w:top w:val="none" w:sz="0" w:space="0" w:color="auto"/>
        <w:left w:val="none" w:sz="0" w:space="0" w:color="auto"/>
        <w:bottom w:val="none" w:sz="0" w:space="0" w:color="auto"/>
        <w:right w:val="none" w:sz="0" w:space="0" w:color="auto"/>
      </w:divBdr>
    </w:div>
    <w:div w:id="1857230769">
      <w:bodyDiv w:val="1"/>
      <w:marLeft w:val="0"/>
      <w:marRight w:val="0"/>
      <w:marTop w:val="0"/>
      <w:marBottom w:val="0"/>
      <w:divBdr>
        <w:top w:val="none" w:sz="0" w:space="0" w:color="auto"/>
        <w:left w:val="none" w:sz="0" w:space="0" w:color="auto"/>
        <w:bottom w:val="none" w:sz="0" w:space="0" w:color="auto"/>
        <w:right w:val="none" w:sz="0" w:space="0" w:color="auto"/>
      </w:divBdr>
    </w:div>
    <w:div w:id="1861579727">
      <w:bodyDiv w:val="1"/>
      <w:marLeft w:val="0"/>
      <w:marRight w:val="0"/>
      <w:marTop w:val="0"/>
      <w:marBottom w:val="0"/>
      <w:divBdr>
        <w:top w:val="none" w:sz="0" w:space="0" w:color="auto"/>
        <w:left w:val="none" w:sz="0" w:space="0" w:color="auto"/>
        <w:bottom w:val="none" w:sz="0" w:space="0" w:color="auto"/>
        <w:right w:val="none" w:sz="0" w:space="0" w:color="auto"/>
      </w:divBdr>
    </w:div>
    <w:div w:id="1873418432">
      <w:bodyDiv w:val="1"/>
      <w:marLeft w:val="0"/>
      <w:marRight w:val="0"/>
      <w:marTop w:val="0"/>
      <w:marBottom w:val="0"/>
      <w:divBdr>
        <w:top w:val="none" w:sz="0" w:space="0" w:color="auto"/>
        <w:left w:val="none" w:sz="0" w:space="0" w:color="auto"/>
        <w:bottom w:val="none" w:sz="0" w:space="0" w:color="auto"/>
        <w:right w:val="none" w:sz="0" w:space="0" w:color="auto"/>
      </w:divBdr>
    </w:div>
    <w:div w:id="213859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portal.gov.cz/wps/portal/_s.155/701?number1=148%2F2006&amp;number2=&amp;name=&amp;text=" TargetMode="External"/><Relationship Id="rId4" Type="http://schemas.openxmlformats.org/officeDocument/2006/relationships/settings" Target="settings.xml"/><Relationship Id="rId9" Type="http://schemas.openxmlformats.org/officeDocument/2006/relationships/hyperlink" Target="http://portal.gov.cz/wps/portal/_s.155/701?number1=258%2F2000&amp;number2=&amp;name=&amp;tex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D20A20-6A4B-4A52-992C-6FB11A68F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1749</TotalTime>
  <Pages>15</Pages>
  <Words>4503</Words>
  <Characters>26570</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
    </vt:vector>
  </TitlesOfParts>
  <Company>JOBI s.r.o.</Company>
  <LinksUpToDate>false</LinksUpToDate>
  <CharactersWithSpaces>31011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dc:creator>
  <cp:keywords/>
  <dc:description/>
  <cp:lastModifiedBy>Jiří Nechuta</cp:lastModifiedBy>
  <cp:revision>88</cp:revision>
  <cp:lastPrinted>2020-04-02T11:38:00Z</cp:lastPrinted>
  <dcterms:created xsi:type="dcterms:W3CDTF">2012-01-04T10:38:00Z</dcterms:created>
  <dcterms:modified xsi:type="dcterms:W3CDTF">2020-04-07T06:00:00Z</dcterms:modified>
</cp:coreProperties>
</file>