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DE" w:rsidRPr="00457FE0" w:rsidRDefault="008D5EDE" w:rsidP="008D5EDE">
      <w:pPr>
        <w:spacing w:after="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F75E6A" w:rsidRPr="00457FE0" w:rsidRDefault="00F75E6A" w:rsidP="008D5EDE">
      <w:pPr>
        <w:spacing w:after="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8D5EDE" w:rsidRPr="00457FE0" w:rsidRDefault="008D5EDE" w:rsidP="008D5EDE">
      <w:pPr>
        <w:spacing w:after="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8D5EDE" w:rsidRPr="00457FE0" w:rsidRDefault="008D5EDE" w:rsidP="008D5EDE">
      <w:pPr>
        <w:spacing w:after="0" w:line="240" w:lineRule="auto"/>
        <w:jc w:val="center"/>
        <w:rPr>
          <w:rFonts w:ascii="Book Antiqua" w:eastAsia="Calibri" w:hAnsi="Book Antiqua" w:cs="Times New Roman"/>
          <w:b/>
          <w:caps/>
          <w:sz w:val="20"/>
          <w:szCs w:val="20"/>
        </w:rPr>
      </w:pPr>
      <w:r w:rsidRPr="00457FE0">
        <w:rPr>
          <w:rFonts w:ascii="Book Antiqua" w:eastAsia="Calibri" w:hAnsi="Book Antiqua" w:cs="Times New Roman"/>
          <w:b/>
          <w:caps/>
          <w:sz w:val="20"/>
          <w:szCs w:val="20"/>
        </w:rPr>
        <w:t>KUPNÍ Smlouva</w:t>
      </w:r>
      <w:r w:rsidR="00DD195C" w:rsidRPr="00457FE0">
        <w:rPr>
          <w:rFonts w:ascii="Book Antiqua" w:eastAsia="Calibri" w:hAnsi="Book Antiqua" w:cs="Times New Roman"/>
          <w:b/>
          <w:caps/>
          <w:sz w:val="20"/>
          <w:szCs w:val="20"/>
        </w:rPr>
        <w:t xml:space="preserve"> č.</w:t>
      </w:r>
    </w:p>
    <w:p w:rsidR="008D5EDE" w:rsidRPr="00457FE0" w:rsidRDefault="008D5EDE" w:rsidP="008D5EDE">
      <w:pPr>
        <w:spacing w:after="0" w:line="240" w:lineRule="auto"/>
        <w:jc w:val="center"/>
        <w:rPr>
          <w:rFonts w:ascii="Book Antiqua" w:eastAsia="Calibri" w:hAnsi="Book Antiqua" w:cs="Times New Roman"/>
          <w:sz w:val="20"/>
          <w:szCs w:val="20"/>
        </w:rPr>
      </w:pPr>
      <w:r w:rsidRPr="00457FE0">
        <w:rPr>
          <w:rFonts w:ascii="Book Antiqua" w:eastAsia="Calibri" w:hAnsi="Book Antiqua" w:cs="Times New Roman"/>
          <w:sz w:val="20"/>
          <w:szCs w:val="20"/>
        </w:rPr>
        <w:t>uzavřená dle ustanovení § 2079 a násl. zákona č. 89/2012 Sb., občanský zákoník</w:t>
      </w:r>
    </w:p>
    <w:p w:rsidR="008D5EDE" w:rsidRPr="00457FE0" w:rsidRDefault="008D5EDE" w:rsidP="008D5EDE">
      <w:pPr>
        <w:keepNext/>
        <w:tabs>
          <w:tab w:val="left" w:pos="-2410"/>
        </w:tabs>
        <w:spacing w:before="120" w:after="120" w:line="240" w:lineRule="auto"/>
        <w:ind w:left="284" w:hanging="284"/>
        <w:jc w:val="center"/>
        <w:outlineLvl w:val="3"/>
        <w:rPr>
          <w:rFonts w:ascii="Book Antiqua" w:eastAsia="Times New Roman" w:hAnsi="Book Antiqua" w:cs="Tahoma"/>
          <w:b/>
          <w:bCs/>
          <w:caps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b/>
          <w:bCs/>
          <w:caps/>
          <w:sz w:val="20"/>
          <w:szCs w:val="20"/>
          <w:lang w:eastAsia="cs-CZ"/>
        </w:rPr>
        <w:t>Smluvní strany</w:t>
      </w:r>
    </w:p>
    <w:p w:rsidR="00F70D0E" w:rsidRPr="00457FE0" w:rsidRDefault="00F70D0E" w:rsidP="008D5EDE">
      <w:pPr>
        <w:keepNext/>
        <w:tabs>
          <w:tab w:val="left" w:pos="-2410"/>
        </w:tabs>
        <w:spacing w:before="120" w:after="120" w:line="240" w:lineRule="auto"/>
        <w:ind w:left="284" w:hanging="284"/>
        <w:jc w:val="center"/>
        <w:outlineLvl w:val="3"/>
        <w:rPr>
          <w:rFonts w:ascii="Book Antiqua" w:eastAsia="Times New Roman" w:hAnsi="Book Antiqua" w:cs="Tahoma"/>
          <w:b/>
          <w:bCs/>
          <w:caps/>
          <w:sz w:val="20"/>
          <w:szCs w:val="20"/>
          <w:lang w:eastAsia="cs-CZ"/>
        </w:rPr>
      </w:pPr>
    </w:p>
    <w:p w:rsidR="008D5EDE" w:rsidRPr="00457FE0" w:rsidRDefault="00F70D0E" w:rsidP="008D5EDE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before="120" w:after="0" w:line="240" w:lineRule="auto"/>
        <w:ind w:left="360"/>
        <w:jc w:val="both"/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>Název firmy:</w:t>
      </w:r>
      <w:r w:rsidRPr="00457FE0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ab/>
      </w:r>
      <w:r w:rsidRPr="00457FE0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ab/>
      </w:r>
      <w:r w:rsidR="00C7588A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 xml:space="preserve"> </w:t>
      </w:r>
      <w:r w:rsidR="00C7588A" w:rsidRPr="00C7588A">
        <w:rPr>
          <w:rFonts w:ascii="Book Antiqua" w:eastAsia="Times New Roman" w:hAnsi="Book Antiqua" w:cs="Tahoma"/>
          <w:b/>
          <w:bCs/>
          <w:sz w:val="20"/>
          <w:szCs w:val="20"/>
          <w:highlight w:val="yellow"/>
          <w:lang w:eastAsia="cs-CZ"/>
        </w:rPr>
        <w:t>(VYPLNÍ PRODÁVAJÍCÍ)</w:t>
      </w:r>
      <w:r w:rsidRPr="00457FE0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ab/>
      </w:r>
    </w:p>
    <w:p w:rsidR="008D5EDE" w:rsidRPr="00457FE0" w:rsidRDefault="008D5EDE" w:rsidP="008D5EDE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 xml:space="preserve">se sídlem: </w:t>
      </w: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C7588A">
        <w:rPr>
          <w:rFonts w:ascii="Book Antiqua" w:eastAsia="Times New Roman" w:hAnsi="Book Antiqua" w:cs="Tahoma"/>
          <w:b/>
          <w:bCs/>
          <w:sz w:val="20"/>
          <w:szCs w:val="20"/>
          <w:highlight w:val="yellow"/>
          <w:lang w:eastAsia="cs-CZ"/>
        </w:rPr>
        <w:t>(VYPLNÍ PRODÁVAJÍCÍ)</w:t>
      </w:r>
    </w:p>
    <w:p w:rsidR="008D5EDE" w:rsidRPr="00457FE0" w:rsidRDefault="008D5EDE" w:rsidP="008D5EDE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>zastoupen:</w:t>
      </w: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C7588A">
        <w:rPr>
          <w:rFonts w:ascii="Book Antiqua" w:eastAsia="Times New Roman" w:hAnsi="Book Antiqua" w:cs="Tahoma"/>
          <w:b/>
          <w:bCs/>
          <w:sz w:val="20"/>
          <w:szCs w:val="20"/>
          <w:highlight w:val="yellow"/>
          <w:lang w:eastAsia="cs-CZ"/>
        </w:rPr>
        <w:t>(VYPLNÍ PRODÁVAJÍCÍ)</w:t>
      </w:r>
    </w:p>
    <w:p w:rsidR="008D5EDE" w:rsidRPr="00457FE0" w:rsidRDefault="008D5EDE" w:rsidP="008D5EDE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>IČ:</w:t>
      </w: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C7588A">
        <w:rPr>
          <w:rFonts w:ascii="Book Antiqua" w:eastAsia="Times New Roman" w:hAnsi="Book Antiqua" w:cs="Tahoma"/>
          <w:b/>
          <w:bCs/>
          <w:sz w:val="20"/>
          <w:szCs w:val="20"/>
          <w:highlight w:val="yellow"/>
          <w:lang w:eastAsia="cs-CZ"/>
        </w:rPr>
        <w:t>(VYPLNÍ PRODÁVAJÍCÍ)</w:t>
      </w:r>
    </w:p>
    <w:p w:rsidR="008D5EDE" w:rsidRPr="00457FE0" w:rsidRDefault="008D5EDE" w:rsidP="008D5EDE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>DIČ:</w:t>
      </w: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C7588A">
        <w:rPr>
          <w:rFonts w:ascii="Book Antiqua" w:eastAsia="Times New Roman" w:hAnsi="Book Antiqua" w:cs="Tahoma"/>
          <w:b/>
          <w:bCs/>
          <w:sz w:val="20"/>
          <w:szCs w:val="20"/>
          <w:highlight w:val="yellow"/>
          <w:lang w:eastAsia="cs-CZ"/>
        </w:rPr>
        <w:t>(VYPLNÍ PRODÁVAJÍCÍ)</w:t>
      </w:r>
    </w:p>
    <w:p w:rsidR="008D5EDE" w:rsidRPr="00457FE0" w:rsidRDefault="008D5EDE" w:rsidP="008D5EDE">
      <w:pPr>
        <w:numPr>
          <w:ilvl w:val="12"/>
          <w:numId w:val="0"/>
        </w:numPr>
        <w:tabs>
          <w:tab w:val="left" w:pos="2160"/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>Bankovní spojení:</w:t>
      </w: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C7588A">
        <w:rPr>
          <w:rFonts w:ascii="Book Antiqua" w:eastAsia="Times New Roman" w:hAnsi="Book Antiqua" w:cs="Tahoma"/>
          <w:b/>
          <w:bCs/>
          <w:sz w:val="20"/>
          <w:szCs w:val="20"/>
          <w:highlight w:val="yellow"/>
          <w:lang w:eastAsia="cs-CZ"/>
        </w:rPr>
        <w:t>(VYPLNÍ PRODÁVAJÍCÍ)</w:t>
      </w:r>
    </w:p>
    <w:p w:rsidR="008D5EDE" w:rsidRPr="00457FE0" w:rsidRDefault="00DA7FAC" w:rsidP="008D5EDE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>Číslo účtu:</w:t>
      </w: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C7588A">
        <w:rPr>
          <w:rFonts w:ascii="Book Antiqua" w:eastAsia="Times New Roman" w:hAnsi="Book Antiqua" w:cs="Tahoma"/>
          <w:b/>
          <w:bCs/>
          <w:sz w:val="20"/>
          <w:szCs w:val="20"/>
          <w:highlight w:val="yellow"/>
          <w:lang w:eastAsia="cs-CZ"/>
        </w:rPr>
        <w:t>(VYPLNÍ PRODÁVAJÍCÍ)</w:t>
      </w:r>
    </w:p>
    <w:p w:rsidR="008D5EDE" w:rsidRPr="00457FE0" w:rsidRDefault="008D5EDE" w:rsidP="008D5EDE">
      <w:pPr>
        <w:numPr>
          <w:ilvl w:val="12"/>
          <w:numId w:val="0"/>
        </w:numPr>
        <w:spacing w:before="120" w:after="0" w:line="240" w:lineRule="auto"/>
        <w:ind w:left="360"/>
        <w:jc w:val="both"/>
        <w:rPr>
          <w:rFonts w:ascii="Book Antiqua" w:eastAsia="Times New Roman" w:hAnsi="Book Antiqua" w:cs="Tahoma"/>
          <w:iCs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iCs/>
          <w:sz w:val="20"/>
          <w:szCs w:val="20"/>
          <w:lang w:eastAsia="cs-CZ"/>
        </w:rPr>
        <w:t>(dále jen „prodávající“)</w:t>
      </w:r>
    </w:p>
    <w:p w:rsidR="008D5EDE" w:rsidRPr="00457FE0" w:rsidRDefault="008D5EDE" w:rsidP="008D5EDE">
      <w:pPr>
        <w:tabs>
          <w:tab w:val="left" w:pos="2835"/>
        </w:tabs>
        <w:spacing w:before="240" w:after="24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>a</w:t>
      </w:r>
    </w:p>
    <w:p w:rsidR="00715FF8" w:rsidRPr="00457FE0" w:rsidRDefault="00715FF8" w:rsidP="00715FF8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360"/>
        <w:jc w:val="both"/>
        <w:rPr>
          <w:rFonts w:ascii="Book Antiqua" w:hAnsi="Book Antiqua" w:cs="Book Antiqua"/>
          <w:b/>
          <w:bCs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>Název školy</w:t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  <w:t xml:space="preserve">Střední lesnická škola a Střední odborné učiliště, Křivoklát, </w:t>
      </w:r>
    </w:p>
    <w:p w:rsidR="00715FF8" w:rsidRPr="00457FE0" w:rsidRDefault="00715FF8" w:rsidP="00715FF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  <w:t>Písky 181</w:t>
      </w:r>
    </w:p>
    <w:p w:rsidR="00715FF8" w:rsidRPr="00457FE0" w:rsidRDefault="00715FF8" w:rsidP="00715FF8">
      <w:pPr>
        <w:tabs>
          <w:tab w:val="left" w:pos="426"/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se sídlem: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  <w:t>Písky 181, 270 23 Křivoklát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</w:r>
    </w:p>
    <w:p w:rsidR="00715FF8" w:rsidRPr="00457FE0" w:rsidRDefault="00715FF8" w:rsidP="00715FF8">
      <w:pPr>
        <w:tabs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zastoupena: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  <w:t xml:space="preserve">Ing. Vratislavem </w:t>
      </w:r>
      <w:proofErr w:type="spellStart"/>
      <w:r w:rsidRPr="00457FE0">
        <w:rPr>
          <w:rFonts w:ascii="Book Antiqua" w:hAnsi="Book Antiqua" w:cs="Book Antiqua"/>
          <w:sz w:val="20"/>
          <w:szCs w:val="20"/>
          <w:lang w:eastAsia="cs-CZ"/>
        </w:rPr>
        <w:t>Dlohošem</w:t>
      </w:r>
      <w:proofErr w:type="spellEnd"/>
    </w:p>
    <w:p w:rsidR="00715FF8" w:rsidRPr="00457FE0" w:rsidRDefault="00715FF8" w:rsidP="00715FF8">
      <w:pPr>
        <w:keepNext/>
        <w:widowControl w:val="0"/>
        <w:tabs>
          <w:tab w:val="left" w:pos="2835"/>
          <w:tab w:val="left" w:pos="2880"/>
        </w:tabs>
        <w:autoSpaceDE w:val="0"/>
        <w:autoSpaceDN w:val="0"/>
        <w:spacing w:after="0" w:line="240" w:lineRule="auto"/>
        <w:ind w:left="357" w:firstLine="3"/>
        <w:outlineLvl w:val="4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IČ: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  <w:t>00069434</w:t>
      </w:r>
    </w:p>
    <w:p w:rsidR="00715FF8" w:rsidRPr="00457FE0" w:rsidRDefault="00715FF8" w:rsidP="00715FF8">
      <w:pPr>
        <w:keepNext/>
        <w:widowControl w:val="0"/>
        <w:tabs>
          <w:tab w:val="left" w:pos="2835"/>
          <w:tab w:val="left" w:pos="2880"/>
        </w:tabs>
        <w:autoSpaceDE w:val="0"/>
        <w:autoSpaceDN w:val="0"/>
        <w:spacing w:after="0" w:line="240" w:lineRule="auto"/>
        <w:ind w:left="357" w:firstLine="3"/>
        <w:outlineLvl w:val="4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DIČ: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  <w:t>CZ00069434</w:t>
      </w:r>
    </w:p>
    <w:p w:rsidR="00715FF8" w:rsidRPr="00457FE0" w:rsidRDefault="00715FF8" w:rsidP="00715FF8">
      <w:pPr>
        <w:tabs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Bankovní spojení: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  <w:t>Komerční banka a.s.</w:t>
      </w:r>
    </w:p>
    <w:p w:rsidR="00715FF8" w:rsidRPr="00457FE0" w:rsidRDefault="00715FF8" w:rsidP="00715FF8">
      <w:pPr>
        <w:tabs>
          <w:tab w:val="left" w:pos="0"/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Číslo účtu: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</w:r>
      <w:r w:rsidR="00B31B47" w:rsidRPr="00457FE0">
        <w:rPr>
          <w:rFonts w:ascii="Book Antiqua" w:hAnsi="Book Antiqua" w:cs="Book Antiqua"/>
          <w:sz w:val="20"/>
          <w:szCs w:val="20"/>
          <w:lang w:eastAsia="cs-CZ"/>
        </w:rPr>
        <w:t>115-7276470267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>/0100</w:t>
      </w:r>
    </w:p>
    <w:p w:rsidR="00715FF8" w:rsidRPr="00457FE0" w:rsidRDefault="00715FF8" w:rsidP="001A3721">
      <w:pPr>
        <w:pStyle w:val="Zkladntext2"/>
        <w:ind w:left="2832" w:hanging="2475"/>
        <w:rPr>
          <w:rFonts w:ascii="Book Antiqua" w:hAnsi="Book Antiqua"/>
          <w:sz w:val="20"/>
        </w:rPr>
      </w:pPr>
      <w:r w:rsidRPr="00457FE0">
        <w:rPr>
          <w:rFonts w:ascii="Book Antiqua" w:hAnsi="Book Antiqua" w:cs="Book Antiqua"/>
          <w:sz w:val="20"/>
        </w:rPr>
        <w:t>Zřízena:</w:t>
      </w:r>
      <w:r w:rsidRPr="00457FE0">
        <w:rPr>
          <w:rFonts w:ascii="Book Antiqua" w:hAnsi="Book Antiqua" w:cs="Book Antiqua"/>
          <w:sz w:val="20"/>
        </w:rPr>
        <w:tab/>
      </w:r>
      <w:r w:rsidRPr="00457FE0">
        <w:rPr>
          <w:rFonts w:ascii="Book Antiqua" w:hAnsi="Book Antiqua"/>
          <w:sz w:val="20"/>
        </w:rPr>
        <w:t>Středočeský</w:t>
      </w:r>
      <w:r w:rsidR="001A3721" w:rsidRPr="00457FE0">
        <w:rPr>
          <w:rFonts w:ascii="Book Antiqua" w:hAnsi="Book Antiqua"/>
          <w:sz w:val="20"/>
        </w:rPr>
        <w:t>m</w:t>
      </w:r>
      <w:r w:rsidRPr="00457FE0">
        <w:rPr>
          <w:rFonts w:ascii="Book Antiqua" w:hAnsi="Book Antiqua"/>
          <w:sz w:val="20"/>
        </w:rPr>
        <w:t xml:space="preserve"> kraj</w:t>
      </w:r>
      <w:r w:rsidR="001A3721" w:rsidRPr="00457FE0">
        <w:rPr>
          <w:rFonts w:ascii="Book Antiqua" w:hAnsi="Book Antiqua"/>
          <w:sz w:val="20"/>
        </w:rPr>
        <w:t>em</w:t>
      </w:r>
      <w:r w:rsidRPr="00457FE0">
        <w:rPr>
          <w:rFonts w:ascii="Book Antiqua" w:hAnsi="Book Antiqua"/>
          <w:sz w:val="20"/>
        </w:rPr>
        <w:t xml:space="preserve"> se sídlem Zborovská 11, Praha 5 – Smíchov</w:t>
      </w:r>
      <w:r w:rsidR="001A3721" w:rsidRPr="00457FE0">
        <w:rPr>
          <w:rFonts w:ascii="Book Antiqua" w:hAnsi="Book Antiqua"/>
          <w:sz w:val="20"/>
        </w:rPr>
        <w:t xml:space="preserve">, </w:t>
      </w:r>
      <w:r w:rsidRPr="00457FE0">
        <w:rPr>
          <w:rFonts w:ascii="Book Antiqua" w:hAnsi="Book Antiqua"/>
          <w:sz w:val="20"/>
        </w:rPr>
        <w:t>IČO: 70891095, usnesením zastupitelstva ze dne 6. 12. 2001 č. j.: OŠMS/5962/2001</w:t>
      </w:r>
    </w:p>
    <w:p w:rsidR="008D5EDE" w:rsidRPr="00457FE0" w:rsidRDefault="00715FF8" w:rsidP="00715FF8">
      <w:pPr>
        <w:tabs>
          <w:tab w:val="left" w:pos="2835"/>
        </w:tabs>
        <w:spacing w:before="120" w:after="0" w:line="240" w:lineRule="auto"/>
        <w:ind w:left="357" w:firstLine="3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 xml:space="preserve"> </w:t>
      </w:r>
      <w:r w:rsidR="008D5EDE" w:rsidRPr="00457FE0">
        <w:rPr>
          <w:rFonts w:ascii="Book Antiqua" w:eastAsia="Times New Roman" w:hAnsi="Book Antiqua" w:cs="Tahoma"/>
          <w:sz w:val="20"/>
          <w:szCs w:val="20"/>
          <w:lang w:eastAsia="cs-CZ"/>
        </w:rPr>
        <w:t>(dále jen „kupující“)</w:t>
      </w:r>
    </w:p>
    <w:p w:rsidR="008D5EDE" w:rsidRPr="00457FE0" w:rsidRDefault="008D5EDE" w:rsidP="008D5EDE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</w:p>
    <w:p w:rsidR="008D5EDE" w:rsidRPr="00457FE0" w:rsidRDefault="008D5EDE" w:rsidP="008D5EDE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Book Antiqua" w:eastAsia="Calibri" w:hAnsi="Book Antiqua" w:cs="Times New Roman"/>
          <w:sz w:val="20"/>
          <w:szCs w:val="20"/>
        </w:rPr>
      </w:pPr>
      <w:r w:rsidRPr="00457FE0">
        <w:rPr>
          <w:rFonts w:ascii="Book Antiqua" w:eastAsia="Calibri" w:hAnsi="Book Antiqua" w:cs="Times New Roman"/>
          <w:sz w:val="20"/>
          <w:szCs w:val="20"/>
        </w:rPr>
        <w:t>uzavírají níže uvedeného dne, měsíce a roku tuto</w:t>
      </w:r>
    </w:p>
    <w:p w:rsidR="008D5EDE" w:rsidRPr="00457FE0" w:rsidRDefault="008D5EDE" w:rsidP="008D5ED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Book Antiqua" w:eastAsia="Calibri" w:hAnsi="Book Antiqua" w:cs="Times New Roman"/>
          <w:sz w:val="20"/>
          <w:szCs w:val="20"/>
        </w:rPr>
      </w:pPr>
    </w:p>
    <w:p w:rsidR="008D5EDE" w:rsidRPr="00457FE0" w:rsidRDefault="008D5EDE" w:rsidP="008D5EDE">
      <w:pPr>
        <w:spacing w:after="0" w:line="240" w:lineRule="auto"/>
        <w:jc w:val="center"/>
        <w:rPr>
          <w:rFonts w:ascii="Book Antiqua" w:eastAsia="Calibri" w:hAnsi="Book Antiqua" w:cs="Times New Roman"/>
          <w:b/>
          <w:caps/>
          <w:sz w:val="20"/>
          <w:szCs w:val="20"/>
        </w:rPr>
      </w:pPr>
      <w:r w:rsidRPr="00457FE0">
        <w:rPr>
          <w:rFonts w:ascii="Book Antiqua" w:eastAsia="Calibri" w:hAnsi="Book Antiqua" w:cs="Times New Roman"/>
          <w:b/>
          <w:caps/>
          <w:sz w:val="20"/>
          <w:szCs w:val="20"/>
        </w:rPr>
        <w:t>kupní SmlouvU:</w:t>
      </w:r>
    </w:p>
    <w:p w:rsidR="008D5EDE" w:rsidRPr="00457FE0" w:rsidRDefault="008D5EDE" w:rsidP="008D5EDE">
      <w:pPr>
        <w:spacing w:after="0" w:line="240" w:lineRule="auto"/>
        <w:jc w:val="center"/>
        <w:rPr>
          <w:rFonts w:ascii="Book Antiqua" w:eastAsia="Calibri" w:hAnsi="Book Antiqua" w:cs="Times New Roman"/>
          <w:b/>
          <w:caps/>
          <w:sz w:val="20"/>
          <w:szCs w:val="20"/>
        </w:rPr>
      </w:pPr>
    </w:p>
    <w:p w:rsidR="008D5EDE" w:rsidRPr="00457FE0" w:rsidRDefault="008D5EDE" w:rsidP="008D5EDE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I.</w:t>
      </w:r>
    </w:p>
    <w:p w:rsidR="008D5EDE" w:rsidRPr="00457FE0" w:rsidRDefault="008D5EDE" w:rsidP="008D5EDE">
      <w:pPr>
        <w:spacing w:before="120" w:after="2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Předmět smlouvy a koupě</w:t>
      </w:r>
    </w:p>
    <w:p w:rsidR="008D5EDE" w:rsidRPr="00457FE0" w:rsidRDefault="008D5EDE" w:rsidP="008D5EDE">
      <w:pPr>
        <w:numPr>
          <w:ilvl w:val="0"/>
          <w:numId w:val="8"/>
        </w:numPr>
        <w:spacing w:before="120" w:after="120" w:line="240" w:lineRule="auto"/>
        <w:jc w:val="both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 xml:space="preserve">Předmětem této smlouvy je úprava práv a povinností smluvních stran při dodávce </w:t>
      </w:r>
      <w:r w:rsidR="001C2C71">
        <w:rPr>
          <w:rFonts w:ascii="Book Antiqua" w:eastAsia="Calibri" w:hAnsi="Book Antiqua" w:cs="Arial"/>
          <w:sz w:val="20"/>
          <w:szCs w:val="20"/>
        </w:rPr>
        <w:t>veterinárních nástrojů</w:t>
      </w:r>
      <w:r w:rsidR="003248E8" w:rsidRPr="00457FE0">
        <w:rPr>
          <w:rFonts w:ascii="Book Antiqua" w:eastAsia="Calibri" w:hAnsi="Book Antiqua" w:cs="Arial"/>
          <w:sz w:val="20"/>
          <w:szCs w:val="20"/>
        </w:rPr>
        <w:t xml:space="preserve"> </w:t>
      </w:r>
      <w:r w:rsidRPr="00457FE0">
        <w:rPr>
          <w:rFonts w:ascii="Book Antiqua" w:eastAsia="Calibri" w:hAnsi="Book Antiqua" w:cs="Arial"/>
          <w:sz w:val="20"/>
          <w:szCs w:val="20"/>
        </w:rPr>
        <w:t>(dále jako „předmět koupě“) za podmínek dále sjednaných v této smlouvě popř. dalších dokumentech, na které se tato smlouva odkazuje.</w:t>
      </w:r>
    </w:p>
    <w:p w:rsidR="008D5EDE" w:rsidRPr="00457FE0" w:rsidRDefault="008D5EDE" w:rsidP="008D5EDE">
      <w:pPr>
        <w:numPr>
          <w:ilvl w:val="0"/>
          <w:numId w:val="8"/>
        </w:numPr>
        <w:spacing w:before="120" w:after="120" w:line="240" w:lineRule="auto"/>
        <w:jc w:val="both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Přesná specifikace předmětu koupě je uvede</w:t>
      </w:r>
      <w:r w:rsidR="00FA3A68" w:rsidRPr="00457FE0">
        <w:rPr>
          <w:rFonts w:ascii="Book Antiqua" w:eastAsia="Calibri" w:hAnsi="Book Antiqua" w:cs="Arial"/>
          <w:sz w:val="20"/>
          <w:szCs w:val="20"/>
        </w:rPr>
        <w:t xml:space="preserve">na v Příloze č. </w:t>
      </w:r>
      <w:proofErr w:type="gramStart"/>
      <w:r w:rsidR="00FB2D75" w:rsidRPr="00457FE0">
        <w:rPr>
          <w:rFonts w:ascii="Book Antiqua" w:eastAsia="Calibri" w:hAnsi="Book Antiqua" w:cs="Arial"/>
          <w:sz w:val="20"/>
          <w:szCs w:val="20"/>
        </w:rPr>
        <w:t>2.1</w:t>
      </w:r>
      <w:proofErr w:type="gramEnd"/>
      <w:r w:rsidR="00FB2D75" w:rsidRPr="00457FE0">
        <w:rPr>
          <w:rFonts w:ascii="Book Antiqua" w:eastAsia="Calibri" w:hAnsi="Book Antiqua" w:cs="Arial"/>
          <w:sz w:val="20"/>
          <w:szCs w:val="20"/>
        </w:rPr>
        <w:t xml:space="preserve">.  krycí list nabídky a 2.2. </w:t>
      </w:r>
      <w:r w:rsidR="00F70D0E" w:rsidRPr="00457FE0">
        <w:rPr>
          <w:rFonts w:ascii="Book Antiqua" w:eastAsia="Calibri" w:hAnsi="Book Antiqua" w:cs="Arial"/>
          <w:sz w:val="20"/>
          <w:szCs w:val="20"/>
        </w:rPr>
        <w:t xml:space="preserve"> </w:t>
      </w:r>
      <w:r w:rsidR="00FB2D75" w:rsidRPr="00457FE0">
        <w:rPr>
          <w:rFonts w:ascii="Book Antiqua" w:eastAsia="Calibri" w:hAnsi="Book Antiqua" w:cs="Arial"/>
          <w:sz w:val="20"/>
          <w:szCs w:val="20"/>
        </w:rPr>
        <w:t xml:space="preserve">položkový rozpočet této </w:t>
      </w:r>
      <w:r w:rsidRPr="00457FE0">
        <w:rPr>
          <w:rFonts w:ascii="Book Antiqua" w:eastAsia="Calibri" w:hAnsi="Book Antiqua" w:cs="Arial"/>
          <w:sz w:val="20"/>
          <w:szCs w:val="20"/>
        </w:rPr>
        <w:t>kupní smlouvy:</w:t>
      </w:r>
      <w:r w:rsidR="00D67EB6" w:rsidRPr="00457FE0">
        <w:rPr>
          <w:rFonts w:ascii="Book Antiqua" w:eastAsia="Calibri" w:hAnsi="Book Antiqua" w:cs="Arial"/>
          <w:sz w:val="20"/>
          <w:szCs w:val="20"/>
        </w:rPr>
        <w:t xml:space="preserve"> </w:t>
      </w:r>
      <w:r w:rsidR="00F70D0E" w:rsidRPr="00457FE0">
        <w:rPr>
          <w:rFonts w:ascii="Book Antiqua" w:hAnsi="Book Antiqua"/>
          <w:b/>
          <w:sz w:val="20"/>
          <w:szCs w:val="20"/>
        </w:rPr>
        <w:t>„</w:t>
      </w:r>
      <w:r w:rsidR="001C2C71">
        <w:rPr>
          <w:rFonts w:ascii="Book Antiqua" w:hAnsi="Book Antiqua"/>
          <w:b/>
          <w:sz w:val="20"/>
          <w:szCs w:val="20"/>
        </w:rPr>
        <w:t>Veterinární nástroje</w:t>
      </w:r>
      <w:r w:rsidR="00F70D0E" w:rsidRPr="00457FE0">
        <w:rPr>
          <w:rFonts w:ascii="Book Antiqua" w:hAnsi="Book Antiqua"/>
          <w:b/>
          <w:sz w:val="20"/>
          <w:szCs w:val="20"/>
        </w:rPr>
        <w:t>“</w:t>
      </w:r>
    </w:p>
    <w:p w:rsidR="008D5EDE" w:rsidRPr="00457FE0" w:rsidRDefault="008D5EDE" w:rsidP="008D5EDE">
      <w:pPr>
        <w:spacing w:before="120" w:after="120" w:line="240" w:lineRule="auto"/>
        <w:ind w:left="283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lastRenderedPageBreak/>
        <w:t xml:space="preserve">Součástí předmětu koupě je i příslušenství a doklady, které se k němu vztahují a jsou potřebné k jeho převzetí a užívání. </w:t>
      </w:r>
    </w:p>
    <w:p w:rsidR="008D5EDE" w:rsidRPr="00457FE0" w:rsidRDefault="008D5EDE" w:rsidP="008D5EDE">
      <w:pPr>
        <w:numPr>
          <w:ilvl w:val="0"/>
          <w:numId w:val="8"/>
        </w:numPr>
        <w:spacing w:before="120" w:after="120" w:line="240" w:lineRule="auto"/>
        <w:jc w:val="both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Prodávající se zavazuje, že kupujícímu odevzdá předmět koupě a umožní mu nabýt vlastnické právo k němu, a kupující se zavazuje, že předmět koupě převezme a zaplatí prodávajícímu kupní cenu.</w:t>
      </w:r>
    </w:p>
    <w:p w:rsidR="008D5EDE" w:rsidRPr="00457FE0" w:rsidRDefault="008D5EDE" w:rsidP="008D5EDE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iCs/>
          <w:sz w:val="20"/>
          <w:szCs w:val="20"/>
        </w:rPr>
        <w:t>Předmět koupě</w:t>
      </w:r>
      <w:r w:rsidRPr="00457FE0">
        <w:rPr>
          <w:rFonts w:ascii="Book Antiqua" w:eastAsia="Calibri" w:hAnsi="Book Antiqua" w:cs="Arial"/>
          <w:sz w:val="20"/>
          <w:szCs w:val="20"/>
        </w:rPr>
        <w:t xml:space="preserve"> je určen pro účely: </w:t>
      </w:r>
      <w:r w:rsidR="00D67EB6" w:rsidRPr="00457FE0">
        <w:rPr>
          <w:rFonts w:ascii="Book Antiqua" w:eastAsia="Calibri" w:hAnsi="Book Antiqua" w:cs="Arial"/>
          <w:sz w:val="20"/>
          <w:szCs w:val="20"/>
        </w:rPr>
        <w:t xml:space="preserve">teoretické a praktické </w:t>
      </w:r>
      <w:r w:rsidR="00715FF8" w:rsidRPr="00457FE0">
        <w:rPr>
          <w:rFonts w:ascii="Book Antiqua" w:eastAsia="Calibri" w:hAnsi="Book Antiqua" w:cs="Arial"/>
          <w:sz w:val="20"/>
          <w:szCs w:val="20"/>
        </w:rPr>
        <w:t>výuky na SLŠ a SOU Křivoklát</w:t>
      </w:r>
      <w:r w:rsidR="005E04B0" w:rsidRPr="00457FE0">
        <w:rPr>
          <w:rFonts w:ascii="Book Antiqua" w:eastAsia="Calibri" w:hAnsi="Book Antiqua" w:cs="Arial"/>
          <w:sz w:val="20"/>
          <w:szCs w:val="20"/>
        </w:rPr>
        <w:t>.</w:t>
      </w:r>
      <w:r w:rsidRPr="00457FE0">
        <w:rPr>
          <w:rFonts w:ascii="Book Antiqua" w:eastAsia="Calibri" w:hAnsi="Book Antiqua" w:cs="Arial"/>
          <w:sz w:val="20"/>
          <w:szCs w:val="20"/>
        </w:rPr>
        <w:t xml:space="preserve">  </w:t>
      </w:r>
    </w:p>
    <w:p w:rsidR="008D5EDE" w:rsidRPr="00457FE0" w:rsidRDefault="008D5EDE" w:rsidP="008D5EDE">
      <w:pPr>
        <w:spacing w:after="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</w:p>
    <w:p w:rsidR="008D5EDE" w:rsidRPr="00457FE0" w:rsidRDefault="008D5EDE" w:rsidP="008D5EDE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II.</w:t>
      </w:r>
    </w:p>
    <w:p w:rsidR="008D5EDE" w:rsidRPr="00457FE0" w:rsidRDefault="008D5EDE" w:rsidP="008D5EDE">
      <w:pPr>
        <w:spacing w:before="120" w:after="1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Doba a místo plnění</w:t>
      </w:r>
    </w:p>
    <w:p w:rsidR="008D5EDE" w:rsidRPr="00457FE0" w:rsidRDefault="008D5EDE" w:rsidP="008D5EDE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 xml:space="preserve">Prodávající se zavazuje dodat předmět koupě do </w:t>
      </w:r>
      <w:r w:rsidR="006C3DD6">
        <w:rPr>
          <w:rFonts w:ascii="Book Antiqua" w:eastAsia="Calibri" w:hAnsi="Book Antiqua" w:cs="Arial"/>
          <w:sz w:val="20"/>
          <w:szCs w:val="20"/>
        </w:rPr>
        <w:t>31. 8. 2019</w:t>
      </w:r>
      <w:bookmarkStart w:id="0" w:name="_GoBack"/>
      <w:bookmarkEnd w:id="0"/>
      <w:r w:rsidR="00715FF8" w:rsidRPr="00457FE0">
        <w:rPr>
          <w:rFonts w:ascii="Book Antiqua" w:eastAsia="Calibri" w:hAnsi="Book Antiqua" w:cs="Arial"/>
          <w:sz w:val="20"/>
          <w:szCs w:val="20"/>
        </w:rPr>
        <w:t>.</w:t>
      </w:r>
    </w:p>
    <w:p w:rsidR="008D5EDE" w:rsidRPr="00457FE0" w:rsidRDefault="008D5EDE" w:rsidP="008D5EDE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Místem dodání předmětu koupě je sídlo</w:t>
      </w:r>
      <w:r w:rsidR="00D67EB6" w:rsidRPr="00457FE0">
        <w:rPr>
          <w:rFonts w:ascii="Book Antiqua" w:eastAsia="Calibri" w:hAnsi="Book Antiqua" w:cs="Arial"/>
          <w:sz w:val="20"/>
          <w:szCs w:val="20"/>
        </w:rPr>
        <w:t>:</w:t>
      </w:r>
      <w:r w:rsidR="00932447" w:rsidRPr="00457FE0">
        <w:rPr>
          <w:rFonts w:ascii="Book Antiqua" w:eastAsia="Calibri" w:hAnsi="Book Antiqua" w:cs="Arial"/>
          <w:sz w:val="20"/>
          <w:szCs w:val="20"/>
        </w:rPr>
        <w:t xml:space="preserve"> Střední lesnická</w:t>
      </w:r>
      <w:r w:rsidR="00715FF8" w:rsidRPr="00457FE0">
        <w:rPr>
          <w:rFonts w:ascii="Book Antiqua" w:eastAsia="Calibri" w:hAnsi="Book Antiqua" w:cs="Arial"/>
          <w:sz w:val="20"/>
          <w:szCs w:val="20"/>
        </w:rPr>
        <w:t xml:space="preserve"> škol</w:t>
      </w:r>
      <w:r w:rsidR="00932447" w:rsidRPr="00457FE0">
        <w:rPr>
          <w:rFonts w:ascii="Book Antiqua" w:eastAsia="Calibri" w:hAnsi="Book Antiqua" w:cs="Arial"/>
          <w:sz w:val="20"/>
          <w:szCs w:val="20"/>
        </w:rPr>
        <w:t xml:space="preserve">a </w:t>
      </w:r>
      <w:r w:rsidR="00715FF8" w:rsidRPr="00457FE0">
        <w:rPr>
          <w:rFonts w:ascii="Book Antiqua" w:eastAsia="Calibri" w:hAnsi="Book Antiqua" w:cs="Arial"/>
          <w:sz w:val="20"/>
          <w:szCs w:val="20"/>
        </w:rPr>
        <w:t xml:space="preserve">a SOU, Písky 181, 270 23 Křivoklát. </w:t>
      </w:r>
    </w:p>
    <w:p w:rsidR="008D5EDE" w:rsidRPr="00457FE0" w:rsidRDefault="008D5EDE" w:rsidP="008D5EDE">
      <w:pPr>
        <w:spacing w:before="120" w:after="12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</w:p>
    <w:p w:rsidR="008D5EDE" w:rsidRPr="00457FE0" w:rsidRDefault="008D5EDE" w:rsidP="008D5EDE">
      <w:pPr>
        <w:spacing w:before="120" w:after="12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III.</w:t>
      </w:r>
    </w:p>
    <w:p w:rsidR="008D5EDE" w:rsidRPr="00457FE0" w:rsidRDefault="008D5EDE" w:rsidP="008D5EDE">
      <w:pPr>
        <w:spacing w:before="120" w:after="1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Kupní cena a platební podmínky</w:t>
      </w:r>
    </w:p>
    <w:p w:rsidR="008D5EDE" w:rsidRPr="00457FE0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Kupní cena se ujednává ve výši </w:t>
      </w:r>
      <w:r w:rsidR="005E04B0" w:rsidRPr="00457FE0">
        <w:rPr>
          <w:rFonts w:ascii="Book Antiqua" w:eastAsia="Times New Roman" w:hAnsi="Book Antiqua" w:cs="Arial"/>
          <w:sz w:val="20"/>
          <w:szCs w:val="20"/>
          <w:lang w:eastAsia="cs-CZ"/>
        </w:rPr>
        <w:t>……………………………….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Kč (slovy </w:t>
      </w:r>
      <w:r w:rsidR="005E04B0" w:rsidRPr="00457FE0">
        <w:rPr>
          <w:rFonts w:ascii="Book Antiqua" w:eastAsia="Times New Roman" w:hAnsi="Book Antiqua" w:cs="Arial"/>
          <w:sz w:val="20"/>
          <w:szCs w:val="20"/>
          <w:lang w:eastAsia="cs-CZ"/>
        </w:rPr>
        <w:t>…………………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korun českých) bez DPH a </w:t>
      </w:r>
      <w:r w:rsidR="005E04B0" w:rsidRPr="00457FE0">
        <w:rPr>
          <w:rFonts w:ascii="Book Antiqua" w:eastAsia="Times New Roman" w:hAnsi="Book Antiqua" w:cs="Arial"/>
          <w:sz w:val="20"/>
          <w:szCs w:val="20"/>
          <w:lang w:eastAsia="cs-CZ"/>
        </w:rPr>
        <w:t>…………………………………..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Kč (slovy </w:t>
      </w:r>
      <w:r w:rsidR="005E04B0" w:rsidRPr="00457FE0">
        <w:rPr>
          <w:rFonts w:ascii="Book Antiqua" w:eastAsia="Times New Roman" w:hAnsi="Book Antiqua" w:cs="Arial"/>
          <w:sz w:val="20"/>
          <w:szCs w:val="20"/>
          <w:lang w:eastAsia="cs-CZ"/>
        </w:rPr>
        <w:t>…………………</w:t>
      </w:r>
      <w:r w:rsidR="00BC020D"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korun českých) s 21%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DPH. </w:t>
      </w:r>
    </w:p>
    <w:p w:rsidR="008D5EDE" w:rsidRPr="00457FE0" w:rsidRDefault="008D5EDE" w:rsidP="008D5EDE">
      <w:pPr>
        <w:spacing w:after="120" w:line="240" w:lineRule="auto"/>
        <w:ind w:left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Kupní cena se rovná ceně plnění veřejné zakázky </w:t>
      </w:r>
      <w:r w:rsidR="005E04B0" w:rsidRPr="00457FE0">
        <w:rPr>
          <w:rFonts w:ascii="Book Antiqua" w:hAnsi="Book Antiqua"/>
          <w:b/>
          <w:sz w:val="20"/>
          <w:szCs w:val="20"/>
        </w:rPr>
        <w:t>„</w:t>
      </w:r>
      <w:r w:rsidR="001C2C71">
        <w:rPr>
          <w:rFonts w:ascii="Book Antiqua" w:hAnsi="Book Antiqua"/>
          <w:b/>
          <w:sz w:val="20"/>
          <w:szCs w:val="20"/>
        </w:rPr>
        <w:t>Veterinární nástroje</w:t>
      </w:r>
      <w:r w:rsidR="005E04B0" w:rsidRPr="00457FE0">
        <w:rPr>
          <w:rFonts w:ascii="Book Antiqua" w:hAnsi="Book Antiqua"/>
          <w:b/>
          <w:sz w:val="20"/>
          <w:szCs w:val="20"/>
        </w:rPr>
        <w:t>“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uvedené v nabídce prodávajícího ze dne </w:t>
      </w:r>
      <w:r w:rsidR="005E04B0" w:rsidRPr="00457FE0">
        <w:rPr>
          <w:rFonts w:ascii="Book Antiqua" w:eastAsia="Times New Roman" w:hAnsi="Book Antiqua" w:cs="Arial"/>
          <w:sz w:val="20"/>
          <w:szCs w:val="20"/>
          <w:lang w:eastAsia="cs-CZ"/>
        </w:rPr>
        <w:t>………….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, jenž je Přílohou č. </w:t>
      </w:r>
      <w:r w:rsidR="00AC605B" w:rsidRPr="00457FE0">
        <w:rPr>
          <w:rFonts w:ascii="Book Antiqua" w:eastAsia="Times New Roman" w:hAnsi="Book Antiqua" w:cs="Arial"/>
          <w:sz w:val="20"/>
          <w:szCs w:val="20"/>
          <w:lang w:eastAsia="cs-CZ"/>
        </w:rPr>
        <w:t>2.1. Krycí list nabídky a 2.2 Položkový rozpočet této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kupní smlouvy.</w:t>
      </w:r>
    </w:p>
    <w:p w:rsidR="008D5EDE" w:rsidRPr="00457FE0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Kupní cena je ujednána dohodou smluvních stran. Kupní cena bez DPH je stanovena jako nejvýše přípustná a nepřekročitelná a obsahuje veškeré náklady spojené s realizací koupě. Sazba DPH se řídí platnými právními předpisy. Prodávající není oprávněn žádat změnu kupní ceny ze žádného důvodu. </w:t>
      </w:r>
    </w:p>
    <w:p w:rsidR="008D5EDE" w:rsidRPr="00457FE0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Kupní cena bude zaplacena kupujícím na základě vystaveného daňového dokladu – faktury, kterou je prodávající oprávněn vystavit až po předání a převzetí předmětu koupě.</w:t>
      </w:r>
      <w:r w:rsidRPr="00457FE0">
        <w:rPr>
          <w:rFonts w:ascii="Book Antiqua" w:eastAsia="Times New Roman" w:hAnsi="Book Antiqua" w:cs="Arial"/>
          <w:snapToGrid w:val="0"/>
          <w:sz w:val="20"/>
          <w:szCs w:val="20"/>
          <w:lang w:eastAsia="cs-CZ"/>
        </w:rPr>
        <w:t xml:space="preserve"> 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Podkladem pro vystavení faktury je Protokol o předání a převzetí předmětu koupě (dále i jako „Protokol“) stvrzený oběma smluvními stranami.</w:t>
      </w:r>
    </w:p>
    <w:p w:rsidR="007D5DA0" w:rsidRPr="00457FE0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Daňový doklad – faktura vystavená prodávajícím musí obsahovat čísl</w:t>
      </w:r>
      <w:r w:rsidR="00AC08D8">
        <w:rPr>
          <w:rFonts w:ascii="Book Antiqua" w:eastAsia="Times New Roman" w:hAnsi="Book Antiqua" w:cs="Arial"/>
          <w:sz w:val="20"/>
          <w:szCs w:val="20"/>
          <w:lang w:eastAsia="cs-CZ"/>
        </w:rPr>
        <w:t>o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smlouvy a lhůt</w:t>
      </w:r>
      <w:r w:rsidR="00AC08D8">
        <w:rPr>
          <w:rFonts w:ascii="Book Antiqua" w:eastAsia="Times New Roman" w:hAnsi="Book Antiqua" w:cs="Arial"/>
          <w:sz w:val="20"/>
          <w:szCs w:val="20"/>
          <w:lang w:eastAsia="cs-CZ"/>
        </w:rPr>
        <w:t>u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splatnosti, která činí </w:t>
      </w:r>
      <w:r w:rsidR="00B90FC3" w:rsidRPr="00B90FC3">
        <w:rPr>
          <w:rFonts w:ascii="Book Antiqua" w:eastAsia="Times New Roman" w:hAnsi="Book Antiqua" w:cs="Arial"/>
          <w:b/>
          <w:sz w:val="20"/>
          <w:szCs w:val="20"/>
          <w:lang w:eastAsia="cs-CZ"/>
        </w:rPr>
        <w:t>15</w:t>
      </w:r>
      <w:r w:rsidRPr="00457FE0">
        <w:rPr>
          <w:rFonts w:ascii="Book Antiqua" w:eastAsia="Times New Roman" w:hAnsi="Book Antiqua" w:cs="Arial"/>
          <w:b/>
          <w:sz w:val="20"/>
          <w:szCs w:val="20"/>
          <w:lang w:eastAsia="cs-CZ"/>
        </w:rPr>
        <w:t xml:space="preserve"> dnů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od dojití faktury kupujícímu</w:t>
      </w:r>
      <w:r w:rsidR="007D5DA0" w:rsidRPr="00457FE0">
        <w:rPr>
          <w:rFonts w:ascii="Book Antiqua" w:eastAsia="Times New Roman" w:hAnsi="Book Antiqua" w:cs="Arial"/>
          <w:sz w:val="20"/>
          <w:szCs w:val="20"/>
          <w:lang w:eastAsia="cs-CZ"/>
        </w:rPr>
        <w:t>.</w:t>
      </w:r>
    </w:p>
    <w:p w:rsidR="005E74BA" w:rsidRPr="00457FE0" w:rsidRDefault="008D5EDE" w:rsidP="000A00FC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Úhrada kupní ceny bude provedena bezhotovostní formou převodem na bankovní účet prodávajícího. Obě smluvní strany se dohodly na tom, že peněžitý závazek je splněn dnem, kdy je částka odepsána z účtu kupujícího.</w:t>
      </w:r>
    </w:p>
    <w:p w:rsidR="00AC605B" w:rsidRPr="00457FE0" w:rsidRDefault="008D5EDE" w:rsidP="00663112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Pro platby dle článku VI. této smlouvy platí přiměřeně platební podmínky jako pro vystavení a placení faktury.</w:t>
      </w:r>
      <w:r w:rsidR="007D5DA0"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</w:t>
      </w:r>
    </w:p>
    <w:p w:rsidR="008D5EDE" w:rsidRDefault="008D5EDE" w:rsidP="00663112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Faktury prodávajícího musí mít náležitosti daňového dokladu dle zákona č. 563/1991 Sb., o účetnictví a dle zákona č. 235/2004 Sb., o dani z přidané hodnoty, v platném znění. </w:t>
      </w:r>
      <w:r w:rsidR="007D5DA0"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V případě, že faktura nebude mít uvedené náležitosti, kupující není povinen fakturovanou částku uhradit a nedostává se do prodlení. Bez zbytečného odkladu, nejpozději ve lhůtě splatnosti, kupující fakturu vrátí zpět prodávajícímu k doplnění. Lhůta splatnosti počíná běžet od dojití daňového dokladu obsahujícího veškeré náležitosti. 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V případě, že účetní doklady nebudou mít odpovídající náležitosti, je kupující oprávněn zaslat je ve lhůtě splatnosti zpět prodávajícím k doplnění, aniž se tak dostane do prodlení s placením; lhůta splatnosti počíná běžet znovu od opětovného doručení náležitě doplněných či opravených dokladů. </w:t>
      </w:r>
    </w:p>
    <w:p w:rsidR="00AB5047" w:rsidRPr="00457FE0" w:rsidRDefault="00AB5047" w:rsidP="00AB5047">
      <w:pPr>
        <w:spacing w:after="120" w:line="240" w:lineRule="auto"/>
        <w:ind w:left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</w:p>
    <w:p w:rsidR="008D5EDE" w:rsidRPr="00457FE0" w:rsidRDefault="008D5EDE" w:rsidP="008D5EDE">
      <w:pPr>
        <w:spacing w:after="50" w:line="240" w:lineRule="auto"/>
        <w:ind w:left="709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Faktury prodávajícího musí obsahovat zejména:</w:t>
      </w:r>
    </w:p>
    <w:p w:rsidR="008D5EDE" w:rsidRPr="00457FE0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identifikační údaje kupujícího,</w:t>
      </w:r>
    </w:p>
    <w:p w:rsidR="008D5EDE" w:rsidRPr="00457FE0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identifikační údaje prodávajícího, </w:t>
      </w:r>
    </w:p>
    <w:p w:rsidR="008D5EDE" w:rsidRPr="00457FE0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označení banky a číslo účtu, na který má být úhrada provedena,</w:t>
      </w:r>
    </w:p>
    <w:p w:rsidR="008D5EDE" w:rsidRPr="00457FE0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popis plnění,</w:t>
      </w:r>
    </w:p>
    <w:p w:rsidR="008D5EDE" w:rsidRPr="00457FE0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datum vystavení a odeslání faktury,</w:t>
      </w:r>
    </w:p>
    <w:p w:rsidR="008D5EDE" w:rsidRPr="00457FE0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datum uskutečnění zdanitelného plnění, </w:t>
      </w:r>
    </w:p>
    <w:p w:rsidR="008D5EDE" w:rsidRPr="00457FE0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datum splatnosti,</w:t>
      </w:r>
    </w:p>
    <w:p w:rsidR="008D5EDE" w:rsidRPr="00457FE0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výši částky bez DPH celkem a základny podle sazeb DPH,</w:t>
      </w:r>
    </w:p>
    <w:p w:rsidR="008D5EDE" w:rsidRPr="00457FE0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sazby DPH,</w:t>
      </w:r>
    </w:p>
    <w:p w:rsidR="008D5EDE" w:rsidRPr="00457FE0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výši DPH celkem a podle základen, zaokrouhlené dle příslušných předpisů,</w:t>
      </w:r>
    </w:p>
    <w:p w:rsidR="008D5EDE" w:rsidRPr="00457FE0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cenu celkem včetně DPH,</w:t>
      </w:r>
    </w:p>
    <w:p w:rsidR="008D5EDE" w:rsidRPr="00457FE0" w:rsidRDefault="008D5EDE" w:rsidP="008D5EDE">
      <w:pPr>
        <w:numPr>
          <w:ilvl w:val="0"/>
          <w:numId w:val="14"/>
        </w:numPr>
        <w:spacing w:after="12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podpis, v případě elektronického odeslání jméno osoby, která fakturu vystavila,</w:t>
      </w:r>
    </w:p>
    <w:p w:rsidR="00AC605B" w:rsidRPr="00457FE0" w:rsidRDefault="008D5EDE" w:rsidP="008D5EDE">
      <w:pPr>
        <w:numPr>
          <w:ilvl w:val="0"/>
          <w:numId w:val="14"/>
        </w:numPr>
        <w:spacing w:after="12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název projektu: </w:t>
      </w:r>
      <w:r w:rsidR="005E04B0" w:rsidRPr="00457FE0">
        <w:rPr>
          <w:rFonts w:ascii="Book Antiqua" w:eastAsia="Times New Roman" w:hAnsi="Book Antiqua" w:cs="Arial"/>
          <w:sz w:val="20"/>
          <w:szCs w:val="20"/>
          <w:lang w:eastAsia="cs-CZ"/>
        </w:rPr>
        <w:t>Implementace Krajského akčního plánu Středočeského kraje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, registrační číslo: CZ.</w:t>
      </w:r>
      <w:r w:rsidR="006E72C1">
        <w:rPr>
          <w:rFonts w:ascii="Book Antiqua" w:eastAsia="Times New Roman" w:hAnsi="Book Antiqua" w:cs="Arial"/>
          <w:sz w:val="20"/>
          <w:szCs w:val="20"/>
          <w:lang w:eastAsia="cs-CZ"/>
        </w:rPr>
        <w:t>02.3.68/0.0/0.0</w:t>
      </w:r>
      <w:r w:rsidR="005E04B0" w:rsidRPr="00457FE0">
        <w:rPr>
          <w:rFonts w:ascii="Book Antiqua" w:eastAsia="Times New Roman" w:hAnsi="Book Antiqua" w:cs="Arial"/>
          <w:sz w:val="20"/>
          <w:szCs w:val="20"/>
          <w:lang w:eastAsia="cs-CZ"/>
        </w:rPr>
        <w:t>/16</w:t>
      </w:r>
      <w:r w:rsidR="005E04B0" w:rsidRPr="00457FE0">
        <w:rPr>
          <w:rFonts w:ascii="Book Antiqua" w:eastAsia="Times New Roman" w:hAnsi="Book Antiqua" w:cs="Arial"/>
          <w:sz w:val="20"/>
          <w:szCs w:val="20"/>
          <w:lang w:eastAsia="cs-CZ"/>
        </w:rPr>
        <w:softHyphen/>
        <w:t>_</w:t>
      </w:r>
      <w:r w:rsidR="00EE342E">
        <w:rPr>
          <w:rFonts w:ascii="Book Antiqua" w:eastAsia="Times New Roman" w:hAnsi="Book Antiqua" w:cs="Arial"/>
          <w:sz w:val="20"/>
          <w:szCs w:val="20"/>
          <w:lang w:eastAsia="cs-CZ"/>
        </w:rPr>
        <w:t>034/</w:t>
      </w:r>
      <w:r w:rsidR="005E04B0" w:rsidRPr="00457FE0">
        <w:rPr>
          <w:rFonts w:ascii="Book Antiqua" w:eastAsia="Times New Roman" w:hAnsi="Book Antiqua" w:cs="Arial"/>
          <w:sz w:val="20"/>
          <w:szCs w:val="20"/>
          <w:lang w:eastAsia="cs-CZ"/>
        </w:rPr>
        <w:t>0008655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. </w:t>
      </w:r>
    </w:p>
    <w:p w:rsidR="008D5EDE" w:rsidRPr="00457FE0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Cena předmětu smlouvy nesmí být měněna v souvislosti s inflací české měny, hodnotou kursu české měny vůči zahraničním měnám či jinými faktory s vlivem na měnový kurs, stabilitu měny nebo cla.</w:t>
      </w:r>
    </w:p>
    <w:p w:rsidR="008D5EDE" w:rsidRPr="00457FE0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Cenu předmětu smlouvy nelze navyšovat. Kupující je oprávněn odečíst cenu neprovedených prací a dodávek vyčíslených podle </w:t>
      </w:r>
      <w:r w:rsidR="006102EA" w:rsidRPr="00457FE0">
        <w:rPr>
          <w:rFonts w:ascii="Book Antiqua" w:eastAsia="Times New Roman" w:hAnsi="Book Antiqua" w:cs="Arial"/>
          <w:sz w:val="20"/>
          <w:szCs w:val="20"/>
          <w:lang w:eastAsia="cs-CZ"/>
        </w:rPr>
        <w:t>položkového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</w:t>
      </w:r>
      <w:r w:rsidR="00A94FDA"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rozpočtu, jež tvoří přílohu č. </w:t>
      </w:r>
      <w:r w:rsidR="006102EA" w:rsidRPr="00457FE0">
        <w:rPr>
          <w:rFonts w:ascii="Book Antiqua" w:eastAsia="Times New Roman" w:hAnsi="Book Antiqua" w:cs="Arial"/>
          <w:sz w:val="20"/>
          <w:szCs w:val="20"/>
          <w:lang w:eastAsia="cs-CZ"/>
        </w:rPr>
        <w:t>2.2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této smlouvy v případě snížení rozsahu prací, dodávek, dílčích změn technologií nebo materiálů odsouhlasených kupujícím a prodávajícím písemnou formou.</w:t>
      </w:r>
    </w:p>
    <w:p w:rsidR="008D5EDE" w:rsidRPr="00457FE0" w:rsidRDefault="008D5EDE" w:rsidP="008D5EDE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Book Antiqua" w:eastAsia="Calibri" w:hAnsi="Book Antiqua" w:cs="Arial"/>
          <w:sz w:val="20"/>
          <w:szCs w:val="20"/>
        </w:rPr>
      </w:pPr>
    </w:p>
    <w:p w:rsidR="008D5EDE" w:rsidRPr="00457FE0" w:rsidRDefault="008D5EDE" w:rsidP="008D5EDE">
      <w:pPr>
        <w:spacing w:before="120" w:after="1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IV.</w:t>
      </w:r>
    </w:p>
    <w:p w:rsidR="008D5EDE" w:rsidRPr="00457FE0" w:rsidRDefault="008D5EDE" w:rsidP="008D5EDE">
      <w:pPr>
        <w:keepNext/>
        <w:spacing w:before="120" w:after="0" w:line="240" w:lineRule="auto"/>
        <w:jc w:val="center"/>
        <w:outlineLvl w:val="0"/>
        <w:rPr>
          <w:rFonts w:ascii="Book Antiqua" w:eastAsia="Times New Roman" w:hAnsi="Book Antiqua" w:cs="Arial"/>
          <w:b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b/>
          <w:sz w:val="20"/>
          <w:szCs w:val="20"/>
          <w:lang w:eastAsia="cs-CZ"/>
        </w:rPr>
        <w:t>Splnění závazku (dodání předmětu koupě)</w:t>
      </w:r>
    </w:p>
    <w:p w:rsidR="008D5EDE" w:rsidRPr="00457FE0" w:rsidRDefault="008D5EDE" w:rsidP="008D5EDE">
      <w:pPr>
        <w:keepNext/>
        <w:spacing w:after="120" w:line="240" w:lineRule="auto"/>
        <w:jc w:val="center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b/>
          <w:bCs/>
          <w:sz w:val="20"/>
          <w:szCs w:val="20"/>
          <w:lang w:eastAsia="cs-CZ"/>
        </w:rPr>
        <w:t>Přechod nebezpečí škody a vlastnické právo k předmětu koupě</w:t>
      </w:r>
    </w:p>
    <w:p w:rsidR="008D5EDE" w:rsidRPr="00457FE0" w:rsidRDefault="008D5EDE" w:rsidP="008D5EDE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Ke splnění závazku prodávajícího dojde odevzdáním předmětu koupě kupujícímu v místě plnění, převzetím kupujícím a potvrzením (podepsáním) Protokolu oběma smluvními stranami. Předmět koupě není předáván a přebírán po částech</w:t>
      </w:r>
      <w:r w:rsidRPr="00457FE0">
        <w:rPr>
          <w:rFonts w:ascii="Book Antiqua" w:eastAsia="Calibri" w:hAnsi="Book Antiqua" w:cs="Arial"/>
          <w:i/>
          <w:color w:val="0000FF"/>
          <w:sz w:val="20"/>
          <w:szCs w:val="20"/>
        </w:rPr>
        <w:t>.</w:t>
      </w:r>
    </w:p>
    <w:p w:rsidR="008D5EDE" w:rsidRPr="00457FE0" w:rsidRDefault="008D5EDE" w:rsidP="0077467F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 xml:space="preserve">Při přebírání předmětu koupě je kupující povinen předmět koupě prohlédnout nebo zařídit jeho prohlídku za účelem zjištění zjevných vad. V případě, že zboží je dodávané v 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:rsidR="008D5EDE" w:rsidRPr="00457FE0" w:rsidRDefault="008D5EDE" w:rsidP="008D5EDE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Vlastnické právo a nebezpečí škody na předmětu koupě přechází z prodávajícího na kupujícího okamžikem odevzdání a převzetí předmětu koupě dle bodu 1. tohoto čl.</w:t>
      </w:r>
    </w:p>
    <w:p w:rsidR="008D5EDE" w:rsidRPr="00457FE0" w:rsidRDefault="008D5EDE" w:rsidP="008D5EDE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Pokud předmět koupě obsahuje jakékoliv vady, má právo kupující odmítnout jeho převzetí. Smluvní strany o tomto vyhotoví Zápis s uvedením vad, v rámci něhož má kupující právo:</w:t>
      </w:r>
    </w:p>
    <w:p w:rsidR="008D5EDE" w:rsidRPr="00457FE0" w:rsidRDefault="008D5EDE" w:rsidP="008D5EDE">
      <w:pPr>
        <w:numPr>
          <w:ilvl w:val="0"/>
          <w:numId w:val="9"/>
        </w:numPr>
        <w:spacing w:before="120" w:after="120" w:line="240" w:lineRule="auto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dohodnout se s prodávajícím na způsobu a termínu pro odstranění vad. Bez ohledu na takto stanovené termíny pro odstranění vad se prodávající dostává do prodlení se splněním svého závazku splnit svůj závazek řádně a včas prvním dnem následujícím po uplynutím doby plnění dle čl. II bod 1.,</w:t>
      </w:r>
    </w:p>
    <w:p w:rsidR="008D5EDE" w:rsidRPr="00457FE0" w:rsidRDefault="008D5EDE" w:rsidP="008D5EDE">
      <w:pPr>
        <w:numPr>
          <w:ilvl w:val="0"/>
          <w:numId w:val="9"/>
        </w:numPr>
        <w:spacing w:before="120" w:after="120" w:line="240" w:lineRule="auto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 xml:space="preserve">odstoupit od smlouvy, přičemž odstoupení se považuje za účinné buď podpisem prodávajícího na Zápisu, nebo v případě, že jej prodávající podepsat odmítne, dnem, kdy Zápis dojde prodávajícímu. </w:t>
      </w:r>
    </w:p>
    <w:p w:rsidR="008D5EDE" w:rsidRPr="00457FE0" w:rsidRDefault="008D5EDE" w:rsidP="008D5EDE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V.</w:t>
      </w:r>
    </w:p>
    <w:p w:rsidR="008D5EDE" w:rsidRPr="00457FE0" w:rsidRDefault="008D5EDE" w:rsidP="008D5EDE">
      <w:pPr>
        <w:spacing w:before="120" w:after="1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Odpovědnost prodávajícího za vady a jakost</w:t>
      </w:r>
    </w:p>
    <w:p w:rsidR="008D5EDE" w:rsidRPr="00457FE0" w:rsidRDefault="008D5EDE" w:rsidP="008D5EDE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Předmět koupě má vady, neodpovídá</w:t>
      </w:r>
      <w:r w:rsidR="00715FF8"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–</w:t>
      </w:r>
      <w:r w:rsidR="00715FF8"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</w:t>
      </w:r>
      <w:proofErr w:type="spellStart"/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li</w:t>
      </w:r>
      <w:proofErr w:type="spellEnd"/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smlouvě.</w:t>
      </w:r>
    </w:p>
    <w:p w:rsidR="008D5EDE" w:rsidRPr="00457FE0" w:rsidRDefault="008D5EDE" w:rsidP="008D5EDE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Prodávající odpovídá za vady, jež má předmět koupě v době jeho předání.</w:t>
      </w:r>
    </w:p>
    <w:p w:rsidR="008D5EDE" w:rsidRPr="00457FE0" w:rsidRDefault="008D5EDE" w:rsidP="008D5EDE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Kupující je oprávněn zadržet kupní cenu nebo její část ve výši odpovídající odhadem přiměřeně právu kupujícího na slevu z ceny díla z důvodu vadného plnění. Nedostává se tak do prodlení se splněním svého závazku zaplatit kupní cenu ohledně zadržované kupní ceny nebo její části.</w:t>
      </w:r>
    </w:p>
    <w:p w:rsidR="008D5EDE" w:rsidRPr="00457FE0" w:rsidRDefault="008D5EDE" w:rsidP="008D5EDE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Prodávající poskytuje kupujícímu záruku za jakost, že předmět koupě bude po dobu záruční doby způsobilý pro použití ke smluvenému účelu nebo že si zachová obvyklé vlastnosti. Záruční doba činí </w:t>
      </w:r>
      <w:r w:rsidR="00715FF8" w:rsidRPr="00457FE0">
        <w:rPr>
          <w:rFonts w:ascii="Book Antiqua" w:eastAsia="Times New Roman" w:hAnsi="Book Antiqua" w:cs="Arial"/>
          <w:sz w:val="20"/>
          <w:szCs w:val="20"/>
          <w:lang w:eastAsia="cs-CZ"/>
        </w:rPr>
        <w:t>24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měsíců ode dne předání bezvadného předmětu koupě. Smluvní strany se dohodly na tom, že po tutéž dobu odpovídá prodávající za vady předmětu koupě v době jeho předání. </w:t>
      </w:r>
    </w:p>
    <w:p w:rsidR="008D5EDE" w:rsidRPr="00457FE0" w:rsidRDefault="008D5EDE" w:rsidP="008D5EDE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Vady předmětu koupě existující v době jeho předání (dojde-li k jeho převzetí kupujícím) a vady, na něž se vztahuje záruka za jakost, je kupující povinen uplatnit u prodávajícího písemnou formou (dále jako „reklamace“). V reklamaci je kupující povinen vady popsat, popřípadě uvést, jak se projevují. Kupující má vůči prodávajícímu podle své volby tato práva z odpovědnosti za vady a za jakost: </w:t>
      </w:r>
    </w:p>
    <w:p w:rsidR="008D5EDE" w:rsidRPr="00457FE0" w:rsidRDefault="008D5EDE" w:rsidP="008D5EDE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v případě, že lze vadu odstranit formou opravy, má právo na bezplatné odstranění reklamované vady do 7 dnů od dojití reklamace,</w:t>
      </w:r>
    </w:p>
    <w:p w:rsidR="008D5EDE" w:rsidRPr="00457FE0" w:rsidRDefault="008D5EDE" w:rsidP="008D5EDE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požadovat slevu z kupní ceny, pokud nedojde k opravě v přiměřené nebo dohodnuté době, popř. se na této skutečnosti obě smluvní strany dohodnou, v případě dohody lze tuto slevu uplatnit i přednostně před opravou,</w:t>
      </w:r>
    </w:p>
    <w:p w:rsidR="005E74BA" w:rsidRPr="00457FE0" w:rsidRDefault="008D5EDE" w:rsidP="00076ECA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vadu odstranit sám nebo prostřednictvím třetích osob s tím, že prodávající je povinen uhradit tyto náklady po předložení vyúčtování,</w:t>
      </w:r>
    </w:p>
    <w:p w:rsidR="008D5EDE" w:rsidRPr="00457FE0" w:rsidRDefault="008D5EDE" w:rsidP="008D5EDE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požadovat nové dodání předmětu koupě pokud předmět koupě vykazuje podstatné vady bránící v užívání nebo toto znemožňují,</w:t>
      </w:r>
    </w:p>
    <w:p w:rsidR="008D5EDE" w:rsidRPr="00457FE0" w:rsidRDefault="008D5EDE" w:rsidP="008D5EDE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odstoupit od smlouvy.</w:t>
      </w:r>
    </w:p>
    <w:p w:rsidR="006E23CF" w:rsidRPr="00457FE0" w:rsidRDefault="006E23CF" w:rsidP="006E23CF">
      <w:pPr>
        <w:spacing w:after="0" w:line="240" w:lineRule="auto"/>
        <w:jc w:val="both"/>
        <w:rPr>
          <w:rFonts w:ascii="Book Antiqua" w:eastAsia="Calibri" w:hAnsi="Book Antiqua" w:cs="Arial"/>
          <w:sz w:val="20"/>
          <w:szCs w:val="20"/>
        </w:rPr>
      </w:pPr>
    </w:p>
    <w:p w:rsidR="008D5EDE" w:rsidRPr="00457FE0" w:rsidRDefault="008D5EDE" w:rsidP="008D5EDE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Uplatněním práv dle bodu 5. tohoto čl. nezaniká právo na náhradu škody či jiné sankce.</w:t>
      </w:r>
    </w:p>
    <w:p w:rsidR="008D5EDE" w:rsidRPr="00457FE0" w:rsidRDefault="008D5EDE" w:rsidP="008D5EDE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Jakékoliv finanční nároky dle bodu 5. tohoto čl. je kupující oprávněn uhradit ze zadržené kupní ceny nebo její části dle bodu 3. tohoto čl.</w:t>
      </w:r>
    </w:p>
    <w:p w:rsidR="008D5EDE" w:rsidRPr="00457FE0" w:rsidRDefault="008D5EDE" w:rsidP="006E23CF">
      <w:pPr>
        <w:spacing w:before="120" w:after="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VI.</w:t>
      </w:r>
    </w:p>
    <w:p w:rsidR="008D5EDE" w:rsidRPr="00457FE0" w:rsidRDefault="008D5EDE" w:rsidP="006E23CF">
      <w:pPr>
        <w:spacing w:after="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Porušení smluvních povinností</w:t>
      </w:r>
    </w:p>
    <w:p w:rsidR="008D5EDE" w:rsidRPr="00457FE0" w:rsidRDefault="008D5EDE" w:rsidP="008D5EDE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2E6571" w:rsidRPr="00457FE0" w:rsidTr="008771A1">
        <w:tc>
          <w:tcPr>
            <w:tcW w:w="354" w:type="dxa"/>
          </w:tcPr>
          <w:p w:rsidR="008D5EDE" w:rsidRPr="00457FE0" w:rsidRDefault="008D5EDE" w:rsidP="008D5EDE">
            <w:pPr>
              <w:spacing w:after="220" w:line="240" w:lineRule="auto"/>
              <w:jc w:val="both"/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  <w:tc>
          <w:tcPr>
            <w:tcW w:w="8858" w:type="dxa"/>
          </w:tcPr>
          <w:p w:rsidR="008D5EDE" w:rsidRPr="00457FE0" w:rsidRDefault="008D5EDE" w:rsidP="008D5ED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 xml:space="preserve">prodávající se zavazuje uhradit za každý den překročení sjednané doby </w:t>
            </w:r>
            <w:r w:rsidR="00715FF8" w:rsidRPr="00457FE0">
              <w:rPr>
                <w:rFonts w:ascii="Book Antiqua" w:eastAsia="Calibri" w:hAnsi="Book Antiqua" w:cs="Arial"/>
                <w:sz w:val="20"/>
                <w:szCs w:val="20"/>
              </w:rPr>
              <w:t>plnění smluvní pokutu ve výši 0,01 %</w:t>
            </w: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 xml:space="preserve"> z celkové kupní ceny,</w:t>
            </w:r>
          </w:p>
          <w:p w:rsidR="008D5EDE" w:rsidRPr="00457FE0" w:rsidRDefault="008D5EDE" w:rsidP="003248E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>prodávající se zavazuje uhradit za každý den překročení sjednané doby odstranění vady uvedené v Zápisu dle čl. IV. bod 4. písm. a) této smlouvy smluvní pokutu ve výši</w:t>
            </w:r>
            <w:r w:rsidR="00715FF8" w:rsidRPr="00457FE0">
              <w:rPr>
                <w:rFonts w:ascii="Book Antiqua" w:eastAsia="Calibri" w:hAnsi="Book Antiqua" w:cs="Arial"/>
                <w:sz w:val="20"/>
                <w:szCs w:val="20"/>
              </w:rPr>
              <w:t xml:space="preserve"> 0,01 %</w:t>
            </w: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 xml:space="preserve"> z</w:t>
            </w:r>
            <w:r w:rsidR="002E6571" w:rsidRPr="00457FE0">
              <w:rPr>
                <w:rFonts w:ascii="Book Antiqua" w:eastAsia="Calibri" w:hAnsi="Book Antiqua" w:cs="Arial"/>
                <w:sz w:val="20"/>
                <w:szCs w:val="20"/>
              </w:rPr>
              <w:t> celkové kupní ceny</w:t>
            </w: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>,</w:t>
            </w:r>
          </w:p>
          <w:p w:rsidR="008D5EDE" w:rsidRPr="00457FE0" w:rsidRDefault="008D5EDE" w:rsidP="008D5ED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eastAsia="Calibri" w:hAnsi="Book Antiqua" w:cs="Arial"/>
                <w:iCs/>
                <w:sz w:val="20"/>
                <w:szCs w:val="20"/>
              </w:rPr>
            </w:pP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>smluvní strany se zavazují zaplatit za každý den překročení sjednaného termínu splatnosti kteréhokoliv peněžitého závazku úrok z prodlení ve výši 0,05% z neuhrazené částky do jejího zaplacení.</w:t>
            </w:r>
          </w:p>
        </w:tc>
      </w:tr>
      <w:tr w:rsidR="008D5EDE" w:rsidRPr="00457FE0" w:rsidTr="008771A1">
        <w:tc>
          <w:tcPr>
            <w:tcW w:w="354" w:type="dxa"/>
          </w:tcPr>
          <w:p w:rsidR="008D5EDE" w:rsidRPr="00457FE0" w:rsidRDefault="008D5EDE" w:rsidP="008D5EDE">
            <w:pPr>
              <w:spacing w:after="0" w:line="240" w:lineRule="auto"/>
              <w:jc w:val="both"/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  <w:tc>
          <w:tcPr>
            <w:tcW w:w="8858" w:type="dxa"/>
          </w:tcPr>
          <w:p w:rsidR="008D5EDE" w:rsidRPr="00457FE0" w:rsidRDefault="008D5EDE" w:rsidP="008D5EDE">
            <w:pPr>
              <w:spacing w:after="0" w:line="240" w:lineRule="auto"/>
              <w:jc w:val="both"/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</w:tr>
    </w:tbl>
    <w:p w:rsidR="008D5EDE" w:rsidRPr="00457FE0" w:rsidRDefault="008D5EDE" w:rsidP="008D5EDE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Zaplacením smluvní pokuty není dotčeno právo na náhradu škody způsobené porušením povinnosti i v případě, že se jedná o porušení povinnosti, na kterou se vztahuje smluvní pokuta, a to i ve výši přesahující smluvní pokutu. Náhrada škody zahrnuje skutečnou škodu a ušlý zisk.</w:t>
      </w:r>
    </w:p>
    <w:p w:rsidR="008D5EDE" w:rsidRPr="00457FE0" w:rsidRDefault="008D5EDE" w:rsidP="006E23CF">
      <w:pPr>
        <w:spacing w:before="120" w:after="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VII.</w:t>
      </w:r>
    </w:p>
    <w:p w:rsidR="008D5EDE" w:rsidRPr="00457FE0" w:rsidRDefault="008D5EDE" w:rsidP="006E23CF">
      <w:pPr>
        <w:spacing w:after="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Práva a povinnosti smluvních stran</w:t>
      </w:r>
    </w:p>
    <w:p w:rsidR="008D5EDE" w:rsidRPr="00457FE0" w:rsidRDefault="008D5EDE" w:rsidP="006E23CF">
      <w:pPr>
        <w:spacing w:after="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Ostatní ujednání</w:t>
      </w:r>
    </w:p>
    <w:p w:rsidR="001322B1" w:rsidRPr="00457FE0" w:rsidRDefault="001322B1" w:rsidP="001322B1">
      <w:pPr>
        <w:numPr>
          <w:ilvl w:val="0"/>
          <w:numId w:val="7"/>
        </w:numPr>
        <w:spacing w:after="0" w:line="240" w:lineRule="auto"/>
        <w:ind w:left="357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Součástí koupě jsou veškeré dodávky učebních pomůcek a vybavení, jejich instalace a proškolení pracovníků školy.</w:t>
      </w:r>
    </w:p>
    <w:p w:rsidR="001322B1" w:rsidRPr="00457FE0" w:rsidRDefault="001322B1" w:rsidP="001322B1">
      <w:pPr>
        <w:numPr>
          <w:ilvl w:val="0"/>
          <w:numId w:val="7"/>
        </w:numPr>
        <w:spacing w:after="0" w:line="240" w:lineRule="auto"/>
        <w:ind w:left="357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 xml:space="preserve">Zajištění bezpečnosti práce a ochrany životního prostředí. </w:t>
      </w:r>
    </w:p>
    <w:p w:rsidR="001322B1" w:rsidRPr="00457FE0" w:rsidRDefault="001322B1" w:rsidP="001322B1">
      <w:pPr>
        <w:numPr>
          <w:ilvl w:val="0"/>
          <w:numId w:val="7"/>
        </w:numPr>
        <w:spacing w:after="0" w:line="240" w:lineRule="auto"/>
        <w:ind w:left="357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Zajištění následného úklidu po instalaci pomůcek</w:t>
      </w:r>
      <w:r w:rsidR="001A3721" w:rsidRPr="00457FE0">
        <w:rPr>
          <w:rFonts w:ascii="Book Antiqua" w:hAnsi="Book Antiqua" w:cs="Book Antiqua"/>
          <w:sz w:val="20"/>
          <w:szCs w:val="20"/>
          <w:lang w:eastAsia="cs-CZ"/>
        </w:rPr>
        <w:t xml:space="preserve"> a vybavení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>.</w:t>
      </w:r>
    </w:p>
    <w:p w:rsidR="001322B1" w:rsidRPr="00457FE0" w:rsidRDefault="001322B1" w:rsidP="001322B1">
      <w:pPr>
        <w:numPr>
          <w:ilvl w:val="0"/>
          <w:numId w:val="7"/>
        </w:numPr>
        <w:spacing w:after="0" w:line="240" w:lineRule="auto"/>
        <w:ind w:left="357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Zajištění všech nezbytných zkoušek, atestů a revizí podle ČSN a případných jiných právních, nebo technických předpisů platných v době dodávky učebních pomůcek, kterými bude prokázáno dosažení předepsané kvality a předepsaných parametrů pomůcek.</w:t>
      </w:r>
    </w:p>
    <w:p w:rsidR="001322B1" w:rsidRPr="00457FE0" w:rsidRDefault="001322B1" w:rsidP="001322B1">
      <w:pPr>
        <w:numPr>
          <w:ilvl w:val="0"/>
          <w:numId w:val="7"/>
        </w:numPr>
        <w:spacing w:after="0" w:line="240" w:lineRule="auto"/>
        <w:ind w:left="357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Zajištění atestů a dokladů o požadovaných vlastnostech výrobků.</w:t>
      </w:r>
    </w:p>
    <w:p w:rsidR="001322B1" w:rsidRPr="00457FE0" w:rsidRDefault="001322B1" w:rsidP="001322B1">
      <w:pPr>
        <w:numPr>
          <w:ilvl w:val="0"/>
          <w:numId w:val="7"/>
        </w:numPr>
        <w:spacing w:after="0" w:line="240" w:lineRule="auto"/>
        <w:ind w:left="357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Odvoz a likvidace veškerého odpadu vzniklého v souvislosti s předmětem dodávek učebních pomůcek s ohledem na ochranu životního prostředí.</w:t>
      </w:r>
    </w:p>
    <w:p w:rsidR="001322B1" w:rsidRPr="00457FE0" w:rsidRDefault="001322B1" w:rsidP="001322B1">
      <w:pPr>
        <w:numPr>
          <w:ilvl w:val="0"/>
          <w:numId w:val="7"/>
        </w:numPr>
        <w:spacing w:after="0" w:line="240" w:lineRule="auto"/>
        <w:ind w:left="357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Proškolení obsluhy dodaných pomůcek a vybavení.</w:t>
      </w:r>
    </w:p>
    <w:p w:rsidR="00AB5047" w:rsidRDefault="00AB5047" w:rsidP="006E23CF">
      <w:pPr>
        <w:spacing w:after="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</w:p>
    <w:p w:rsidR="006E23CF" w:rsidRPr="00457FE0" w:rsidRDefault="008D5EDE" w:rsidP="006E23CF">
      <w:pPr>
        <w:spacing w:after="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VIII.</w:t>
      </w:r>
    </w:p>
    <w:p w:rsidR="008D5EDE" w:rsidRPr="00457FE0" w:rsidRDefault="008D5EDE" w:rsidP="006E23CF">
      <w:pPr>
        <w:spacing w:after="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Závěrečná ustanovení</w:t>
      </w:r>
    </w:p>
    <w:p w:rsidR="008D5EDE" w:rsidRPr="00457FE0" w:rsidRDefault="004368FF" w:rsidP="00C4442A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92" w:hanging="492"/>
        <w:jc w:val="both"/>
        <w:rPr>
          <w:rFonts w:ascii="Book Antiqua" w:eastAsia="Times New Roman" w:hAnsi="Book Antiqua" w:cs="Arial"/>
          <w:b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Kupující tímto potvrzuje, </w:t>
      </w:r>
      <w:r w:rsidR="001D6849"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že o uzavření této smlouvy rozhodl Ing. Vratislav </w:t>
      </w:r>
      <w:proofErr w:type="spellStart"/>
      <w:r w:rsidR="001D6849" w:rsidRPr="00457FE0">
        <w:rPr>
          <w:rFonts w:ascii="Book Antiqua" w:eastAsia="Times New Roman" w:hAnsi="Book Antiqua" w:cs="Arial"/>
          <w:sz w:val="20"/>
          <w:szCs w:val="20"/>
          <w:lang w:eastAsia="cs-CZ"/>
        </w:rPr>
        <w:t>Dlohoš</w:t>
      </w:r>
      <w:proofErr w:type="spellEnd"/>
      <w:r w:rsidR="001D6849"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, ředitel SLŠ a SOU Křivoklát, na základně usnesení hodnotící komise ze dne </w:t>
      </w:r>
      <w:r w:rsidR="002313FC" w:rsidRPr="00457FE0">
        <w:rPr>
          <w:rFonts w:ascii="Book Antiqua" w:eastAsia="Times New Roman" w:hAnsi="Book Antiqua" w:cs="Arial"/>
          <w:sz w:val="20"/>
          <w:szCs w:val="20"/>
          <w:lang w:eastAsia="cs-CZ"/>
        </w:rPr>
        <w:t>…………….</w:t>
      </w:r>
      <w:r w:rsidR="001D6849" w:rsidRPr="00457FE0">
        <w:rPr>
          <w:rFonts w:ascii="Book Antiqua" w:eastAsia="Times New Roman" w:hAnsi="Book Antiqua" w:cs="Arial"/>
          <w:sz w:val="20"/>
          <w:szCs w:val="20"/>
          <w:lang w:eastAsia="cs-CZ"/>
        </w:rPr>
        <w:t>.</w:t>
      </w:r>
      <w:r w:rsidR="00C7588A">
        <w:rPr>
          <w:rFonts w:ascii="Book Antiqua" w:eastAsia="Times New Roman" w:hAnsi="Book Antiqua" w:cs="Arial"/>
          <w:sz w:val="20"/>
          <w:szCs w:val="20"/>
          <w:lang w:eastAsia="cs-CZ"/>
        </w:rPr>
        <w:t>(vyplní zadavatel)</w:t>
      </w:r>
    </w:p>
    <w:p w:rsidR="007D5DA0" w:rsidRPr="00457FE0" w:rsidRDefault="008D5EDE" w:rsidP="0075299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Pokud v této smlouvě není stanoveno jinak, řídí se právní vztahy z ní vyplývající příslušnými ustanovení občanského zákoníku.</w:t>
      </w:r>
    </w:p>
    <w:p w:rsidR="008D5EDE" w:rsidRPr="00457FE0" w:rsidRDefault="008D5EDE" w:rsidP="008D5ED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Tuto smlouvu lze měnit či doplňovat pouze po dohodě smluvních stran formou písemných a číslovaných dodatků. </w:t>
      </w:r>
    </w:p>
    <w:p w:rsidR="001322B1" w:rsidRPr="00457FE0" w:rsidRDefault="001322B1" w:rsidP="001322B1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 xml:space="preserve">Tato smlouva o dílo je vyhotovena ve </w:t>
      </w:r>
      <w:r w:rsidR="002313FC" w:rsidRPr="00457FE0">
        <w:rPr>
          <w:rFonts w:ascii="Book Antiqua" w:hAnsi="Book Antiqua" w:cs="Book Antiqua"/>
          <w:sz w:val="20"/>
          <w:szCs w:val="20"/>
          <w:lang w:eastAsia="cs-CZ"/>
        </w:rPr>
        <w:t>3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 xml:space="preserve"> </w:t>
      </w:r>
      <w:proofErr w:type="spellStart"/>
      <w:r w:rsidRPr="00457FE0">
        <w:rPr>
          <w:rFonts w:ascii="Book Antiqua" w:hAnsi="Book Antiqua" w:cs="Book Antiqua"/>
          <w:sz w:val="20"/>
          <w:szCs w:val="20"/>
          <w:lang w:eastAsia="cs-CZ"/>
        </w:rPr>
        <w:t>paré</w:t>
      </w:r>
      <w:proofErr w:type="spellEnd"/>
      <w:r w:rsidRPr="00457FE0">
        <w:rPr>
          <w:rFonts w:ascii="Book Antiqua" w:hAnsi="Book Antiqua" w:cs="Book Antiqua"/>
          <w:sz w:val="20"/>
          <w:szCs w:val="20"/>
          <w:lang w:eastAsia="cs-CZ"/>
        </w:rPr>
        <w:t xml:space="preserve"> s platností origin</w:t>
      </w:r>
      <w:r w:rsidR="002313FC" w:rsidRPr="00457FE0">
        <w:rPr>
          <w:rFonts w:ascii="Book Antiqua" w:hAnsi="Book Antiqua" w:cs="Book Antiqua"/>
          <w:sz w:val="20"/>
          <w:szCs w:val="20"/>
          <w:lang w:eastAsia="cs-CZ"/>
        </w:rPr>
        <w:t>álu, přičemž objednatel obdrží 2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 xml:space="preserve"> vyhotovení a </w:t>
      </w:r>
      <w:r w:rsidR="002313FC" w:rsidRPr="00457FE0">
        <w:rPr>
          <w:rFonts w:ascii="Book Antiqua" w:hAnsi="Book Antiqua" w:cs="Book Antiqua"/>
          <w:sz w:val="20"/>
          <w:szCs w:val="20"/>
          <w:lang w:eastAsia="cs-CZ"/>
        </w:rPr>
        <w:t>prodávající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 xml:space="preserve"> 1 vyhotovení.</w:t>
      </w:r>
    </w:p>
    <w:p w:rsidR="008D5EDE" w:rsidRPr="00457FE0" w:rsidRDefault="008D5EDE" w:rsidP="008D5ED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Tato smlouva nabývá platnosti a účinnosti dnem jejího podepsání oběma smluvními stranami a tímto dnem jsou její účastníci svými projevy vázáni</w:t>
      </w:r>
      <w:r w:rsidRPr="00457FE0">
        <w:rPr>
          <w:rFonts w:ascii="Book Antiqua" w:eastAsia="Times New Roman" w:hAnsi="Book Antiqua" w:cs="Times New Roman"/>
          <w:sz w:val="20"/>
          <w:szCs w:val="20"/>
          <w:lang w:eastAsia="cs-CZ"/>
        </w:rPr>
        <w:t>.</w:t>
      </w:r>
    </w:p>
    <w:p w:rsidR="008D5EDE" w:rsidRPr="00457FE0" w:rsidRDefault="008D5EDE" w:rsidP="008D5ED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Prodávající je povinen poskytnout součinnost a umožnit kontrolním orgánům provedení kontroly v plném rozsahu v souladu s ustanoveními zák. č. 320/2001 Sb., o finanční kontrole ve veřejné správě a zák.</w:t>
      </w:r>
      <w:r w:rsidR="001322B1"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č. 552/1991 Sb., o státní kontrole, týkající se dodavatelských činností prodávajícího souvisejících s realizací projektu, a to poskytnutím veškerých dokladů a informací požadovaných ze strany kontrolních orgánů.</w:t>
      </w:r>
    </w:p>
    <w:p w:rsidR="008D5EDE" w:rsidRPr="00457FE0" w:rsidRDefault="008D5EDE" w:rsidP="008D5ED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Prodávající je povinen dokumenty související s realizací zakázky uchovávat nejméně do roku 20</w:t>
      </w:r>
      <w:r w:rsidR="008544E3" w:rsidRPr="00457FE0">
        <w:rPr>
          <w:rFonts w:ascii="Book Antiqua" w:eastAsia="Times New Roman" w:hAnsi="Book Antiqua" w:cs="Arial"/>
          <w:sz w:val="20"/>
          <w:szCs w:val="20"/>
          <w:lang w:eastAsia="cs-CZ"/>
        </w:rPr>
        <w:t>33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, a to zejména pro účely případné kontroly realizace projektu, ověřování plnění povinností vyplývajících z podmínek projektu a také podmínek daných právními předpisy k archivaci těchto dokumentů (zákon č. 563/1991 Sb. o účetnictví a zákon č. 235/2004 Sb., o dani z přidané hodnoty). Prodávající je povinen poskytovat požadované informace a dokumentaci zaměstnancům nebo zmocněncům kupujícího a pověřených orgánů (MŠMT, MMR, Ministerstva financí, Středočeského kraje; Evropské komise, Evropského účetního dvora, Nejvyššího kontrolního úřadu, příslušného finančního úřadu a případně dalších oprávněných orgánů státní správy). Dále je prodávající povinen vytvořit výše uvedeným osobám podmínky k provedení kontroly vztahující se k realizaci projektu a poskytnout jim při provádění kontroly součinnost.</w:t>
      </w:r>
    </w:p>
    <w:p w:rsidR="008D5EDE" w:rsidRPr="00457FE0" w:rsidRDefault="008D5EDE" w:rsidP="008D5ED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Vybraný dodavatel bude řádně uchovávat veškeré dokumenty související s realizací projektu v souladu s platnými právními předpisy České republiky a Evropských společenství, nejméně však do roku 20</w:t>
      </w:r>
      <w:r w:rsidR="008544E3" w:rsidRPr="00457FE0">
        <w:rPr>
          <w:rFonts w:ascii="Book Antiqua" w:eastAsia="Times New Roman" w:hAnsi="Book Antiqua" w:cs="Arial"/>
          <w:sz w:val="20"/>
          <w:szCs w:val="20"/>
          <w:lang w:eastAsia="cs-CZ"/>
        </w:rPr>
        <w:t>33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a umožní všem subjektům oprávněným k výkonu kontroly projektu, z jehož prostředků je poskytnutí služby hrazeno, provést kontrolu dokladů souvisejících s plněním dle této Smlouvy, a to po dobu danou právními předpisy ČR k jejich archivaci (zákon č. 563/1991 Sb., o účetnictví, a zákon č. 235/2004 Sb., o dani z přidané hodnoty).</w:t>
      </w:r>
    </w:p>
    <w:p w:rsidR="008D5EDE" w:rsidRPr="00457FE0" w:rsidRDefault="008D5EDE" w:rsidP="008D5ED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Uchazeč bere na vědomí povinnost zadavatele dodržet požadavky na publicitu v rámci programů strukturálních fondů stanovené v čl. 9 nařízení Komise (ES) č. 1828/2006 a v Pravidlech pro publicitu, a to ve všech relevantních dokumentech týkajících se daného zadávacího řízení či postupu tj. zejména v zadávací dokumentaci, všech smlouvách a dalších dokumentech vztahujících se k dané zakázce.</w:t>
      </w:r>
    </w:p>
    <w:p w:rsidR="008D5EDE" w:rsidRPr="00457FE0" w:rsidRDefault="008D5EDE" w:rsidP="008D5ED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Dle § 2 e) zákona č. 320/2001 Sb., o finanční kontrole ve veřejné správě bude vybraný dodavatel osobou povinnou spolupůsobit při výkonu finanční kontroly a bude povinen umožnit osobám oprávněným k výkonu kontroly projektu, z něhož bude zakázka případně hrazena, provést kontrolu dokladů souvisejících s plněním zakázky, a to po dobu nejméně 10 let po skončení plnění zakázky.</w:t>
      </w:r>
    </w:p>
    <w:p w:rsidR="008D5EDE" w:rsidRPr="00457FE0" w:rsidRDefault="008D5EDE" w:rsidP="008D5ED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Tato kupní smlouva se řídí zákonem č. 89/2012 Sb., občanským zákoní</w:t>
      </w:r>
      <w:r w:rsidR="001322B1" w:rsidRPr="00457FE0">
        <w:rPr>
          <w:rFonts w:ascii="Book Antiqua" w:eastAsia="Times New Roman" w:hAnsi="Book Antiqua" w:cs="Arial"/>
          <w:sz w:val="20"/>
          <w:szCs w:val="20"/>
          <w:lang w:eastAsia="cs-CZ"/>
        </w:rPr>
        <w:t>k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em, v platném znění, ve znění pozdějších předpisů dohodly, že se rozsah a obsah vzájemných práv a povinností z této smlouvy vyplývajících bude řídit příslušnými ustanoveními tohoto zákoníku, příslušnými ustanoveními Příručky pro příjemce finanční podpory z OPVK verze: 7, § 6 zákona č.137/2006 Sb., o veřejných zakázkách, ve znění pozdějších předpisů.</w:t>
      </w:r>
    </w:p>
    <w:p w:rsidR="008F2333" w:rsidRPr="00457FE0" w:rsidRDefault="008F2333" w:rsidP="008F2333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hAnsi="Book Antiqua" w:cs="Book Antiqua"/>
          <w:iCs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iCs/>
          <w:sz w:val="20"/>
          <w:szCs w:val="20"/>
          <w:lang w:eastAsia="cs-CZ"/>
        </w:rPr>
        <w:t>Nedílnou součástí smluvních ujednání podle této kupní smlouvy jsou tyto přílohy seřazené podle pořadí závaznosti pro případ rozporů: např. viz Přílohy</w:t>
      </w:r>
    </w:p>
    <w:p w:rsidR="008F2333" w:rsidRPr="00457FE0" w:rsidRDefault="008F2333" w:rsidP="001A3721">
      <w:pPr>
        <w:pStyle w:val="Odstavecseseznamem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iCs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iCs/>
          <w:sz w:val="20"/>
          <w:szCs w:val="20"/>
          <w:lang w:eastAsia="cs-CZ"/>
        </w:rPr>
        <w:t xml:space="preserve">Výpis z obchodní rejstříku dodavatele </w:t>
      </w:r>
    </w:p>
    <w:p w:rsidR="00CE170C" w:rsidRPr="00457FE0" w:rsidRDefault="001A3721" w:rsidP="00CE170C">
      <w:pPr>
        <w:pStyle w:val="Odstavecseseznamem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iCs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iCs/>
          <w:sz w:val="20"/>
          <w:szCs w:val="20"/>
          <w:lang w:eastAsia="cs-CZ"/>
        </w:rPr>
        <w:t xml:space="preserve">Příloha číslo </w:t>
      </w:r>
      <w:r w:rsidR="002313FC" w:rsidRPr="00457FE0">
        <w:rPr>
          <w:rFonts w:ascii="Book Antiqua" w:hAnsi="Book Antiqua" w:cs="Book Antiqua"/>
          <w:iCs/>
          <w:sz w:val="20"/>
          <w:szCs w:val="20"/>
          <w:lang w:eastAsia="cs-CZ"/>
        </w:rPr>
        <w:t>2.1 Krycí list nabídky a 2.2 Položkový rozpočet</w:t>
      </w:r>
      <w:r w:rsidRPr="00457FE0">
        <w:rPr>
          <w:rFonts w:ascii="Book Antiqua" w:hAnsi="Book Antiqua" w:cs="Book Antiqua"/>
          <w:iCs/>
          <w:sz w:val="20"/>
          <w:szCs w:val="20"/>
          <w:lang w:eastAsia="cs-CZ"/>
        </w:rPr>
        <w:t xml:space="preserve"> vybraného uchazeče pro veřejnou zakázku s názvem </w:t>
      </w:r>
      <w:r w:rsidRPr="00AB5047">
        <w:rPr>
          <w:rFonts w:ascii="Book Antiqua" w:hAnsi="Book Antiqua" w:cs="Book Antiqua"/>
          <w:b/>
          <w:iCs/>
          <w:sz w:val="20"/>
          <w:szCs w:val="20"/>
          <w:lang w:eastAsia="cs-CZ"/>
        </w:rPr>
        <w:t>„</w:t>
      </w:r>
      <w:r w:rsidR="001C2C71">
        <w:rPr>
          <w:rFonts w:ascii="Book Antiqua" w:hAnsi="Book Antiqua"/>
          <w:b/>
          <w:sz w:val="20"/>
          <w:szCs w:val="20"/>
        </w:rPr>
        <w:t>Veterinární nástroje</w:t>
      </w:r>
      <w:r w:rsidR="00AD711B" w:rsidRPr="00AB5047">
        <w:rPr>
          <w:rFonts w:ascii="Book Antiqua" w:hAnsi="Book Antiqua" w:cs="Book Antiqua"/>
          <w:b/>
          <w:iCs/>
          <w:sz w:val="20"/>
          <w:szCs w:val="20"/>
          <w:lang w:eastAsia="cs-CZ"/>
        </w:rPr>
        <w:t>“</w:t>
      </w:r>
    </w:p>
    <w:p w:rsidR="00301DCF" w:rsidRDefault="00301DCF" w:rsidP="00301DC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iCs/>
          <w:sz w:val="20"/>
          <w:szCs w:val="20"/>
          <w:lang w:eastAsia="cs-CZ"/>
        </w:rPr>
      </w:pPr>
    </w:p>
    <w:p w:rsidR="00917655" w:rsidRDefault="00917655" w:rsidP="00301DC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iCs/>
          <w:sz w:val="20"/>
          <w:szCs w:val="20"/>
          <w:lang w:eastAsia="cs-CZ"/>
        </w:rPr>
      </w:pPr>
    </w:p>
    <w:p w:rsidR="00917655" w:rsidRDefault="00917655" w:rsidP="00301DC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iCs/>
          <w:sz w:val="20"/>
          <w:szCs w:val="20"/>
          <w:lang w:eastAsia="cs-CZ"/>
        </w:rPr>
      </w:pPr>
    </w:p>
    <w:p w:rsidR="00917655" w:rsidRDefault="00917655" w:rsidP="00301DC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iCs/>
          <w:sz w:val="20"/>
          <w:szCs w:val="20"/>
          <w:lang w:eastAsia="cs-CZ"/>
        </w:rPr>
      </w:pPr>
    </w:p>
    <w:p w:rsidR="00917655" w:rsidRDefault="00917655" w:rsidP="00301DC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iCs/>
          <w:sz w:val="20"/>
          <w:szCs w:val="20"/>
          <w:lang w:eastAsia="cs-CZ"/>
        </w:rPr>
      </w:pPr>
    </w:p>
    <w:p w:rsidR="00917655" w:rsidRDefault="00917655" w:rsidP="00301DC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iCs/>
          <w:sz w:val="20"/>
          <w:szCs w:val="20"/>
          <w:lang w:eastAsia="cs-CZ"/>
        </w:rPr>
      </w:pPr>
    </w:p>
    <w:p w:rsidR="00917655" w:rsidRDefault="00917655" w:rsidP="00301DC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iCs/>
          <w:sz w:val="20"/>
          <w:szCs w:val="20"/>
          <w:lang w:eastAsia="cs-CZ"/>
        </w:rPr>
      </w:pPr>
    </w:p>
    <w:p w:rsidR="00917655" w:rsidRDefault="00917655" w:rsidP="00301DC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iCs/>
          <w:sz w:val="20"/>
          <w:szCs w:val="20"/>
          <w:lang w:eastAsia="cs-CZ"/>
        </w:rPr>
      </w:pPr>
    </w:p>
    <w:p w:rsidR="00917655" w:rsidRDefault="00917655" w:rsidP="00301DC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iCs/>
          <w:sz w:val="20"/>
          <w:szCs w:val="20"/>
          <w:lang w:eastAsia="cs-CZ"/>
        </w:rPr>
      </w:pPr>
    </w:p>
    <w:p w:rsidR="00917655" w:rsidRDefault="00917655" w:rsidP="00301DC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iCs/>
          <w:sz w:val="20"/>
          <w:szCs w:val="20"/>
          <w:lang w:eastAsia="cs-CZ"/>
        </w:rPr>
      </w:pPr>
    </w:p>
    <w:p w:rsidR="00917655" w:rsidRPr="00457FE0" w:rsidRDefault="00917655" w:rsidP="00301DC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iCs/>
          <w:sz w:val="20"/>
          <w:szCs w:val="20"/>
          <w:lang w:eastAsia="cs-CZ"/>
        </w:rPr>
      </w:pPr>
    </w:p>
    <w:p w:rsidR="008D5EDE" w:rsidRPr="00457FE0" w:rsidRDefault="008D5EDE" w:rsidP="004368F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IX.</w:t>
      </w:r>
    </w:p>
    <w:p w:rsidR="008D5EDE" w:rsidRPr="00457FE0" w:rsidRDefault="008D5EDE" w:rsidP="008D5EDE">
      <w:pPr>
        <w:spacing w:after="24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Podpisy smluvních stran</w:t>
      </w:r>
    </w:p>
    <w:p w:rsidR="008D5EDE" w:rsidRPr="00457FE0" w:rsidRDefault="008D5EDE" w:rsidP="008D5EDE">
      <w:pPr>
        <w:numPr>
          <w:ilvl w:val="6"/>
          <w:numId w:val="12"/>
        </w:numPr>
        <w:spacing w:after="120" w:line="240" w:lineRule="auto"/>
        <w:ind w:left="493" w:hanging="425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Prodávající i kupující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:rsidR="004368FF" w:rsidRPr="00457FE0" w:rsidRDefault="004368FF" w:rsidP="008D5EDE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7"/>
        <w:gridCol w:w="4493"/>
      </w:tblGrid>
      <w:tr w:rsidR="008D5EDE" w:rsidRPr="00457FE0" w:rsidTr="00CD447F">
        <w:tc>
          <w:tcPr>
            <w:tcW w:w="4577" w:type="dxa"/>
          </w:tcPr>
          <w:p w:rsidR="008D5EDE" w:rsidRPr="00457FE0" w:rsidRDefault="008D5EDE" w:rsidP="006D78C6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>V</w:t>
            </w:r>
            <w:r w:rsidR="001D6849" w:rsidRPr="00457FE0">
              <w:rPr>
                <w:rFonts w:ascii="Book Antiqua" w:eastAsia="Calibri" w:hAnsi="Book Antiqua" w:cs="Arial"/>
                <w:sz w:val="20"/>
                <w:szCs w:val="20"/>
              </w:rPr>
              <w:t xml:space="preserve"> </w:t>
            </w:r>
            <w:r w:rsidR="00695F40" w:rsidRPr="00457FE0">
              <w:rPr>
                <w:rFonts w:ascii="Book Antiqua" w:eastAsia="Calibri" w:hAnsi="Book Antiqua" w:cs="Arial"/>
                <w:sz w:val="20"/>
                <w:szCs w:val="20"/>
              </w:rPr>
              <w:t xml:space="preserve">                          </w:t>
            </w:r>
            <w:r w:rsidR="006D78C6" w:rsidRPr="00457FE0">
              <w:rPr>
                <w:rFonts w:ascii="Book Antiqua" w:eastAsia="Calibri" w:hAnsi="Book Antiqua" w:cs="Arial"/>
                <w:sz w:val="20"/>
                <w:szCs w:val="20"/>
              </w:rPr>
              <w:t xml:space="preserve"> </w:t>
            </w:r>
            <w:r w:rsidR="00695F40" w:rsidRPr="00457FE0">
              <w:rPr>
                <w:rFonts w:ascii="Book Antiqua" w:eastAsia="Calibri" w:hAnsi="Book Antiqua" w:cs="Arial"/>
                <w:sz w:val="20"/>
                <w:szCs w:val="20"/>
              </w:rPr>
              <w:t xml:space="preserve"> </w:t>
            </w: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 xml:space="preserve">dne </w:t>
            </w:r>
          </w:p>
        </w:tc>
        <w:tc>
          <w:tcPr>
            <w:tcW w:w="4493" w:type="dxa"/>
          </w:tcPr>
          <w:p w:rsidR="008D5EDE" w:rsidRPr="00457FE0" w:rsidRDefault="008D5EDE" w:rsidP="001D6849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 xml:space="preserve">V </w:t>
            </w:r>
            <w:r w:rsidR="00695F40" w:rsidRPr="00457FE0">
              <w:rPr>
                <w:rFonts w:ascii="Book Antiqua" w:eastAsia="Calibri" w:hAnsi="Book Antiqua" w:cs="Arial"/>
                <w:sz w:val="20"/>
                <w:szCs w:val="20"/>
              </w:rPr>
              <w:t xml:space="preserve">                          </w:t>
            </w:r>
            <w:r w:rsidR="008F2333" w:rsidRPr="00457FE0">
              <w:rPr>
                <w:rFonts w:ascii="Book Antiqua" w:eastAsia="Calibri" w:hAnsi="Book Antiqua" w:cs="Arial"/>
                <w:sz w:val="20"/>
                <w:szCs w:val="20"/>
              </w:rPr>
              <w:t xml:space="preserve"> dne </w:t>
            </w:r>
          </w:p>
          <w:p w:rsidR="004368FF" w:rsidRPr="00457FE0" w:rsidRDefault="004368FF" w:rsidP="001D6849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4368FF" w:rsidRPr="00457FE0" w:rsidRDefault="004368FF" w:rsidP="001D6849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</w:tr>
      <w:tr w:rsidR="008D5EDE" w:rsidRPr="00457FE0" w:rsidTr="00CD447F">
        <w:tc>
          <w:tcPr>
            <w:tcW w:w="4577" w:type="dxa"/>
          </w:tcPr>
          <w:p w:rsidR="008D5EDE" w:rsidRPr="00457FE0" w:rsidRDefault="008D5EDE" w:rsidP="008D5ED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4493" w:type="dxa"/>
          </w:tcPr>
          <w:p w:rsidR="008D5EDE" w:rsidRPr="00457FE0" w:rsidRDefault="008F2333" w:rsidP="008F2333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 xml:space="preserve">Ing. Vratislav </w:t>
            </w:r>
            <w:proofErr w:type="spellStart"/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>Dlohoš</w:t>
            </w:r>
            <w:proofErr w:type="spellEnd"/>
          </w:p>
        </w:tc>
      </w:tr>
      <w:tr w:rsidR="008D5EDE" w:rsidRPr="00457FE0" w:rsidTr="00CD447F">
        <w:tc>
          <w:tcPr>
            <w:tcW w:w="4577" w:type="dxa"/>
          </w:tcPr>
          <w:p w:rsidR="008D5EDE" w:rsidRPr="00457FE0" w:rsidRDefault="007D5DA0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 xml:space="preserve">                     </w:t>
            </w:r>
            <w:r w:rsidR="00695F40" w:rsidRPr="00457FE0">
              <w:rPr>
                <w:rFonts w:ascii="Book Antiqua" w:eastAsia="Calibri" w:hAnsi="Book Antiqua" w:cs="Arial"/>
                <w:sz w:val="20"/>
                <w:szCs w:val="20"/>
              </w:rPr>
              <w:t>p</w:t>
            </w:r>
            <w:r w:rsidR="008D5EDE" w:rsidRPr="00457FE0">
              <w:rPr>
                <w:rFonts w:ascii="Book Antiqua" w:eastAsia="Calibri" w:hAnsi="Book Antiqua" w:cs="Arial"/>
                <w:sz w:val="20"/>
                <w:szCs w:val="20"/>
              </w:rPr>
              <w:t>rodávající</w:t>
            </w:r>
          </w:p>
          <w:p w:rsidR="008D5EDE" w:rsidRPr="00457FE0" w:rsidRDefault="008D5EDE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3248E8" w:rsidRPr="00457FE0" w:rsidRDefault="003248E8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3248E8" w:rsidRPr="00457FE0" w:rsidRDefault="003248E8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  <w:tc>
          <w:tcPr>
            <w:tcW w:w="4493" w:type="dxa"/>
          </w:tcPr>
          <w:p w:rsidR="008D5EDE" w:rsidRPr="00457FE0" w:rsidRDefault="007D5DA0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 xml:space="preserve">          </w:t>
            </w:r>
            <w:r w:rsidR="00695F40" w:rsidRPr="00457FE0">
              <w:rPr>
                <w:rFonts w:ascii="Book Antiqua" w:eastAsia="Calibri" w:hAnsi="Book Antiqua" w:cs="Arial"/>
                <w:sz w:val="20"/>
                <w:szCs w:val="20"/>
              </w:rPr>
              <w:t>k</w:t>
            </w:r>
            <w:r w:rsidR="008D5EDE" w:rsidRPr="00457FE0">
              <w:rPr>
                <w:rFonts w:ascii="Book Antiqua" w:eastAsia="Calibri" w:hAnsi="Book Antiqua" w:cs="Arial"/>
                <w:sz w:val="20"/>
                <w:szCs w:val="20"/>
              </w:rPr>
              <w:t>upující</w:t>
            </w:r>
          </w:p>
          <w:p w:rsidR="008D5EDE" w:rsidRPr="00457FE0" w:rsidRDefault="008D5EDE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</w:tr>
    </w:tbl>
    <w:p w:rsidR="00CD447F" w:rsidRDefault="00CD447F" w:rsidP="008D5EDE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Arial"/>
          <w:sz w:val="20"/>
          <w:szCs w:val="20"/>
        </w:rPr>
        <w:sectPr w:rsidR="00CD447F" w:rsidSect="007D5D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624" w:footer="454" w:gutter="0"/>
          <w:cols w:space="708"/>
          <w:docGrid w:linePitch="360"/>
        </w:sectPr>
      </w:pPr>
    </w:p>
    <w:p w:rsidR="005274E7" w:rsidRPr="00457FE0" w:rsidRDefault="005274E7" w:rsidP="00CD447F">
      <w:pPr>
        <w:spacing w:after="220" w:line="240" w:lineRule="auto"/>
        <w:rPr>
          <w:rFonts w:ascii="Book Antiqua" w:hAnsi="Book Antiqua"/>
          <w:sz w:val="20"/>
          <w:szCs w:val="20"/>
        </w:rPr>
      </w:pPr>
    </w:p>
    <w:sectPr w:rsidR="005274E7" w:rsidRPr="00457FE0" w:rsidSect="004D3884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251" w:rsidRDefault="00F25251" w:rsidP="008D5EDE">
      <w:pPr>
        <w:spacing w:after="0" w:line="240" w:lineRule="auto"/>
      </w:pPr>
      <w:r>
        <w:separator/>
      </w:r>
    </w:p>
  </w:endnote>
  <w:endnote w:type="continuationSeparator" w:id="0">
    <w:p w:rsidR="00F25251" w:rsidRDefault="00F25251" w:rsidP="008D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FA" w:rsidRDefault="00381A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D6" w:rsidRPr="00017A44" w:rsidRDefault="00396AF3" w:rsidP="00396AF3">
    <w:pPr>
      <w:pStyle w:val="Zpat"/>
      <w:tabs>
        <w:tab w:val="clear" w:pos="4536"/>
        <w:tab w:val="clear" w:pos="9072"/>
        <w:tab w:val="center" w:pos="4535"/>
        <w:tab w:val="right" w:pos="9070"/>
      </w:tabs>
      <w:rPr>
        <w:rFonts w:ascii="Times New Roman" w:hAnsi="Times New Roman" w:cs="Times New Roman"/>
        <w:b/>
      </w:rPr>
    </w:pPr>
    <w:r w:rsidRPr="00260FB2">
      <w:rPr>
        <w:rFonts w:ascii="Times New Roman" w:hAnsi="Times New Roman" w:cs="Times New Roman"/>
        <w:b/>
        <w:noProof/>
        <w:lang w:eastAsia="cs-CZ"/>
      </w:rPr>
      <w:drawing>
        <wp:anchor distT="0" distB="0" distL="114300" distR="114300" simplePos="0" relativeHeight="251668480" behindDoc="1" locked="0" layoutInCell="1" allowOverlap="1" wp14:anchorId="196F04F1" wp14:editId="531D5609">
          <wp:simplePos x="0" y="0"/>
          <wp:positionH relativeFrom="page">
            <wp:posOffset>5624830</wp:posOffset>
          </wp:positionH>
          <wp:positionV relativeFrom="paragraph">
            <wp:posOffset>-100965</wp:posOffset>
          </wp:positionV>
          <wp:extent cx="1713600" cy="417600"/>
          <wp:effectExtent l="0" t="0" r="1270" b="1905"/>
          <wp:wrapTight wrapText="left">
            <wp:wrapPolygon edited="0">
              <wp:start x="0" y="0"/>
              <wp:lineTo x="0" y="20712"/>
              <wp:lineTo x="21376" y="20712"/>
              <wp:lineTo x="21376" y="0"/>
              <wp:lineTo x="0" y="0"/>
            </wp:wrapPolygon>
          </wp:wrapTight>
          <wp:docPr id="2" name="Obrázek 2" descr="C:\Users\javanska\Desktop\Publicita\Logolink\Zkrácená čer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vanska\Desktop\Publicita\Logolink\Zkrácená čer.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 xml:space="preserve">               </w:t>
    </w:r>
    <w:r w:rsidR="009E44D6" w:rsidRPr="00017A44">
      <w:rPr>
        <w:rFonts w:ascii="Times New Roman" w:hAnsi="Times New Roman" w:cs="Times New Roman"/>
        <w:b/>
      </w:rPr>
      <w:t>Implementace Krajského akčního plánu Středočeského kraje</w:t>
    </w:r>
    <w:r>
      <w:rPr>
        <w:rFonts w:ascii="Times New Roman" w:hAnsi="Times New Roman" w:cs="Times New Roman"/>
        <w:b/>
      </w:rPr>
      <w:tab/>
    </w:r>
  </w:p>
  <w:p w:rsidR="009E44D6" w:rsidRPr="00017A44" w:rsidRDefault="009E44D6" w:rsidP="009E44D6">
    <w:pPr>
      <w:pStyle w:val="Zpat"/>
      <w:jc w:val="center"/>
      <w:rPr>
        <w:rFonts w:ascii="Times New Roman" w:hAnsi="Times New Roman" w:cs="Times New Roman"/>
        <w:b/>
      </w:rPr>
    </w:pPr>
    <w:r w:rsidRPr="00017A44">
      <w:rPr>
        <w:rFonts w:ascii="Times New Roman" w:hAnsi="Times New Roman" w:cs="Times New Roman"/>
      </w:rPr>
      <w:t>Registrační číslo projektu: CZ.02.3.68/0.0/0.0/16_034/0008655</w:t>
    </w:r>
  </w:p>
  <w:p w:rsidR="00684A1D" w:rsidRPr="009E44D6" w:rsidRDefault="006C3DD6" w:rsidP="009E44D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FA" w:rsidRDefault="00381A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251" w:rsidRDefault="00F25251" w:rsidP="008D5EDE">
      <w:pPr>
        <w:spacing w:after="0" w:line="240" w:lineRule="auto"/>
      </w:pPr>
      <w:r>
        <w:separator/>
      </w:r>
    </w:p>
  </w:footnote>
  <w:footnote w:type="continuationSeparator" w:id="0">
    <w:p w:rsidR="00F25251" w:rsidRDefault="00F25251" w:rsidP="008D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FA" w:rsidRDefault="006C3DD6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67454" o:spid="_x0000_s2054" type="#_x0000_t136" style="position:absolute;margin-left:0;margin-top:0;width:456.7pt;height:182.65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A1D" w:rsidRPr="00933A64" w:rsidRDefault="00396AF3" w:rsidP="00E04475">
    <w:r>
      <w:rPr>
        <w:noProof/>
        <w:lang w:eastAsia="cs-CZ"/>
      </w:rPr>
      <w:drawing>
        <wp:inline distT="0" distB="0" distL="0" distR="0" wp14:anchorId="7F595B80" wp14:editId="221849B1">
          <wp:extent cx="5759450" cy="127797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4CAE">
      <w:tab/>
    </w:r>
    <w:r w:rsidR="00BC4CAE">
      <w:tab/>
    </w:r>
    <w:r w:rsidR="00BC4CAE">
      <w:tab/>
    </w:r>
    <w:r w:rsidR="00BC4CAE">
      <w:tab/>
    </w:r>
    <w:r w:rsidR="00BC4CAE">
      <w:tab/>
    </w:r>
    <w:r w:rsidR="00BC4CAE">
      <w:tab/>
    </w:r>
    <w:r w:rsidR="00BC4CAE">
      <w:tab/>
    </w:r>
    <w:r w:rsidR="00BC4CAE">
      <w:tab/>
    </w:r>
    <w:r w:rsidR="00BC4CAE">
      <w:tab/>
    </w:r>
    <w:r w:rsidR="00BC4CAE">
      <w:tab/>
    </w:r>
    <w:r w:rsidR="00BC4CAE">
      <w:tab/>
      <w:t>Příloha č. 4</w:t>
    </w:r>
    <w:r w:rsidR="006C3DD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67455" o:spid="_x0000_s2055" type="#_x0000_t136" style="position:absolute;margin-left:0;margin-top:0;width:456.7pt;height:182.65pt;rotation:315;z-index:-251650048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NÁVRH"/>
          <w10:wrap anchorx="margin" anchory="margin"/>
        </v:shape>
      </w:pict>
    </w:r>
    <w:r w:rsidR="008D5EDE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01EB376" wp14:editId="44D7A0B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8" name="Obrázek 8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FA" w:rsidRDefault="006C3DD6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67453" o:spid="_x0000_s2053" type="#_x0000_t136" style="position:absolute;margin-left:0;margin-top:0;width:456.7pt;height:182.65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E19239F2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4" w15:restartNumberingAfterBreak="0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70A31C2"/>
    <w:multiLevelType w:val="hybridMultilevel"/>
    <w:tmpl w:val="C10A4792"/>
    <w:lvl w:ilvl="0" w:tplc="133C677E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44518"/>
    <w:multiLevelType w:val="hybridMultilevel"/>
    <w:tmpl w:val="D3CCDF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857ED"/>
    <w:multiLevelType w:val="hybridMultilevel"/>
    <w:tmpl w:val="5F78191A"/>
    <w:lvl w:ilvl="0" w:tplc="FAA2D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A97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F66C25"/>
    <w:multiLevelType w:val="multilevel"/>
    <w:tmpl w:val="D80AA3C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Book Antiqua" w:eastAsiaTheme="minorHAnsi" w:hAnsi="Book Antiqua" w:cs="Book Antiqu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1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EF"/>
    <w:rsid w:val="00024D2C"/>
    <w:rsid w:val="001322B1"/>
    <w:rsid w:val="001544D9"/>
    <w:rsid w:val="001A3721"/>
    <w:rsid w:val="001C2C71"/>
    <w:rsid w:val="001D6849"/>
    <w:rsid w:val="001E2374"/>
    <w:rsid w:val="002313FC"/>
    <w:rsid w:val="0025254D"/>
    <w:rsid w:val="002E6571"/>
    <w:rsid w:val="00301DCF"/>
    <w:rsid w:val="003248E8"/>
    <w:rsid w:val="00345B6E"/>
    <w:rsid w:val="00381AFA"/>
    <w:rsid w:val="00396AF3"/>
    <w:rsid w:val="004368FF"/>
    <w:rsid w:val="00457FE0"/>
    <w:rsid w:val="004E3B01"/>
    <w:rsid w:val="004F1B9D"/>
    <w:rsid w:val="005274E7"/>
    <w:rsid w:val="005E04B0"/>
    <w:rsid w:val="005E74BA"/>
    <w:rsid w:val="006102EA"/>
    <w:rsid w:val="00634E60"/>
    <w:rsid w:val="006657EF"/>
    <w:rsid w:val="00695F40"/>
    <w:rsid w:val="006C3DD6"/>
    <w:rsid w:val="006D78C6"/>
    <w:rsid w:val="006E23CF"/>
    <w:rsid w:val="006E72C1"/>
    <w:rsid w:val="00705DE3"/>
    <w:rsid w:val="00715FF8"/>
    <w:rsid w:val="007D5DA0"/>
    <w:rsid w:val="008544E3"/>
    <w:rsid w:val="008D5EDE"/>
    <w:rsid w:val="008E69BD"/>
    <w:rsid w:val="008F2333"/>
    <w:rsid w:val="00917655"/>
    <w:rsid w:val="00917A10"/>
    <w:rsid w:val="00932447"/>
    <w:rsid w:val="009E44D6"/>
    <w:rsid w:val="00A67A78"/>
    <w:rsid w:val="00A94FDA"/>
    <w:rsid w:val="00AA2E4E"/>
    <w:rsid w:val="00AB5047"/>
    <w:rsid w:val="00AC08D8"/>
    <w:rsid w:val="00AC605B"/>
    <w:rsid w:val="00AD711B"/>
    <w:rsid w:val="00B31B47"/>
    <w:rsid w:val="00B90FC3"/>
    <w:rsid w:val="00B9206C"/>
    <w:rsid w:val="00BC020D"/>
    <w:rsid w:val="00BC4CAE"/>
    <w:rsid w:val="00C03A15"/>
    <w:rsid w:val="00C25BAD"/>
    <w:rsid w:val="00C42F19"/>
    <w:rsid w:val="00C7588A"/>
    <w:rsid w:val="00CA2E78"/>
    <w:rsid w:val="00CD0FCA"/>
    <w:rsid w:val="00CD447F"/>
    <w:rsid w:val="00CE170C"/>
    <w:rsid w:val="00CF0063"/>
    <w:rsid w:val="00D11AF4"/>
    <w:rsid w:val="00D356BB"/>
    <w:rsid w:val="00D67EB6"/>
    <w:rsid w:val="00DA7FAC"/>
    <w:rsid w:val="00DD195C"/>
    <w:rsid w:val="00E0513A"/>
    <w:rsid w:val="00E75B50"/>
    <w:rsid w:val="00EE342E"/>
    <w:rsid w:val="00F02F54"/>
    <w:rsid w:val="00F25251"/>
    <w:rsid w:val="00F70D0E"/>
    <w:rsid w:val="00F75E6A"/>
    <w:rsid w:val="00FA3A68"/>
    <w:rsid w:val="00FB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399C85C"/>
  <w15:docId w15:val="{8F2018A2-85E7-4DE7-9EA9-A0C815E3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EDE"/>
  </w:style>
  <w:style w:type="paragraph" w:styleId="Zpat">
    <w:name w:val="footer"/>
    <w:basedOn w:val="Normln"/>
    <w:link w:val="ZpatChar"/>
    <w:uiPriority w:val="99"/>
    <w:unhideWhenUsed/>
    <w:rsid w:val="008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EDE"/>
  </w:style>
  <w:style w:type="paragraph" w:styleId="Zkladntext2">
    <w:name w:val="Body Text 2"/>
    <w:basedOn w:val="Normln"/>
    <w:link w:val="Zkladntext2Char"/>
    <w:uiPriority w:val="99"/>
    <w:rsid w:val="00715F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15FF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B0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A3721"/>
    <w:pPr>
      <w:ind w:left="720"/>
      <w:contextualSpacing/>
    </w:pPr>
  </w:style>
  <w:style w:type="character" w:customStyle="1" w:styleId="AKFZFnormlnChar">
    <w:name w:val="AKFZF_normální Char"/>
    <w:link w:val="AKFZFnormln"/>
    <w:locked/>
    <w:rsid w:val="00381AFA"/>
    <w:rPr>
      <w:rFonts w:ascii="Arial" w:hAnsi="Arial" w:cs="Calibri"/>
    </w:rPr>
  </w:style>
  <w:style w:type="paragraph" w:customStyle="1" w:styleId="AKFZFnormln">
    <w:name w:val="AKFZF_normální"/>
    <w:link w:val="AKFZFnormlnChar"/>
    <w:qFormat/>
    <w:rsid w:val="00381AFA"/>
    <w:pPr>
      <w:spacing w:after="100" w:line="288" w:lineRule="auto"/>
      <w:jc w:val="both"/>
    </w:pPr>
    <w:rPr>
      <w:rFonts w:ascii="Arial" w:hAnsi="Arial" w:cs="Calibri"/>
    </w:rPr>
  </w:style>
  <w:style w:type="character" w:styleId="Zstupntext">
    <w:name w:val="Placeholder Text"/>
    <w:basedOn w:val="Standardnpsmoodstavce"/>
    <w:uiPriority w:val="99"/>
    <w:semiHidden/>
    <w:rsid w:val="00381A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6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2205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AI</Company>
  <LinksUpToDate>false</LinksUpToDate>
  <CharactersWithSpaces>15188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Šnajdr Marek</dc:creator>
  <cp:keywords/>
  <dc:description/>
  <cp:lastModifiedBy>Marketa_Simova</cp:lastModifiedBy>
  <cp:revision>28</cp:revision>
  <cp:lastPrinted>2019-07-30T08:31:00Z</cp:lastPrinted>
  <dcterms:created xsi:type="dcterms:W3CDTF">2018-10-17T06:39:00Z</dcterms:created>
  <dcterms:modified xsi:type="dcterms:W3CDTF">2019-07-30T08:31:00Z</dcterms:modified>
</cp:coreProperties>
</file>