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C92CCC" w14:textId="77777777" w:rsidR="00D23F1F" w:rsidRDefault="00D23F1F" w:rsidP="00795EC5">
      <w:pPr>
        <w:jc w:val="center"/>
        <w:rPr>
          <w:b/>
          <w:sz w:val="32"/>
        </w:rPr>
      </w:pPr>
      <w:r>
        <w:rPr>
          <w:b/>
          <w:sz w:val="32"/>
        </w:rPr>
        <w:t xml:space="preserve">Příloha </w:t>
      </w:r>
      <w:r w:rsidR="00C155FC">
        <w:rPr>
          <w:b/>
          <w:sz w:val="32"/>
        </w:rPr>
        <w:t>A</w:t>
      </w:r>
    </w:p>
    <w:p w14:paraId="39C87EBA" w14:textId="26860E75" w:rsidR="007C43C2" w:rsidRPr="0022216A" w:rsidRDefault="00D23F1F" w:rsidP="00795EC5">
      <w:pPr>
        <w:jc w:val="center"/>
        <w:rPr>
          <w:b/>
        </w:rPr>
      </w:pPr>
      <w:r w:rsidRPr="0022216A">
        <w:rPr>
          <w:b/>
        </w:rPr>
        <w:t>k d</w:t>
      </w:r>
      <w:r w:rsidR="007C43C2" w:rsidRPr="0022216A">
        <w:rPr>
          <w:b/>
        </w:rPr>
        <w:t>okumentac</w:t>
      </w:r>
      <w:r w:rsidRPr="0022216A">
        <w:rPr>
          <w:b/>
        </w:rPr>
        <w:t>i</w:t>
      </w:r>
      <w:r w:rsidR="007C43C2" w:rsidRPr="0022216A">
        <w:rPr>
          <w:b/>
        </w:rPr>
        <w:t xml:space="preserve"> </w:t>
      </w:r>
      <w:r w:rsidR="005F4BD4">
        <w:rPr>
          <w:b/>
        </w:rPr>
        <w:t>zadávacího řízení</w:t>
      </w:r>
      <w:r w:rsidR="007C43C2" w:rsidRPr="0022216A">
        <w:rPr>
          <w:b/>
        </w:rPr>
        <w:t xml:space="preserve"> dle zákona č. 134/201</w:t>
      </w:r>
      <w:r w:rsidR="00795EC5" w:rsidRPr="0022216A">
        <w:rPr>
          <w:b/>
        </w:rPr>
        <w:t>6 Sb., o </w:t>
      </w:r>
      <w:r w:rsidR="007C43C2" w:rsidRPr="0022216A">
        <w:rPr>
          <w:b/>
        </w:rPr>
        <w:t>zadávání veřejných zakázek</w:t>
      </w:r>
      <w:r w:rsidR="004E14BC" w:rsidRPr="0022216A">
        <w:rPr>
          <w:b/>
        </w:rPr>
        <w:t>, ve znění pozdějších předpisů</w:t>
      </w:r>
      <w:r w:rsidR="00105805">
        <w:rPr>
          <w:b/>
        </w:rPr>
        <w:t>, (dále též „ZZVZ“)</w:t>
      </w:r>
    </w:p>
    <w:p w14:paraId="5BB27FA2" w14:textId="77777777" w:rsidR="003A1EEF" w:rsidRDefault="003A1EEF" w:rsidP="00795EC5">
      <w:pPr>
        <w:jc w:val="center"/>
        <w:rPr>
          <w:b/>
          <w:sz w:val="32"/>
        </w:rPr>
      </w:pPr>
    </w:p>
    <w:p w14:paraId="69D7506D" w14:textId="4B283BB0" w:rsidR="003A1EEF" w:rsidRPr="003A1EEF" w:rsidRDefault="003A1EEF" w:rsidP="00795EC5">
      <w:pPr>
        <w:jc w:val="center"/>
        <w:rPr>
          <w:b/>
          <w:caps/>
          <w:sz w:val="32"/>
        </w:rPr>
      </w:pPr>
      <w:r w:rsidRPr="003A1EEF">
        <w:rPr>
          <w:b/>
          <w:caps/>
          <w:sz w:val="32"/>
        </w:rPr>
        <w:t>Kvalifikační dokumentace</w:t>
      </w:r>
    </w:p>
    <w:p w14:paraId="043558FE" w14:textId="3C2B24D9" w:rsidR="00795EC5" w:rsidRDefault="00105805" w:rsidP="00C30CC1">
      <w:r>
        <w:t xml:space="preserve"> </w:t>
      </w:r>
    </w:p>
    <w:p w14:paraId="0DA3B143" w14:textId="77777777" w:rsidR="00245457" w:rsidRDefault="00245457" w:rsidP="00C30CC1"/>
    <w:p w14:paraId="5BD41887" w14:textId="77777777" w:rsidR="00245457" w:rsidRDefault="00245457" w:rsidP="00C30CC1"/>
    <w:p w14:paraId="72BDCDEE" w14:textId="3E4B89BB" w:rsidR="00FE6699" w:rsidRPr="00105805" w:rsidRDefault="00FE6699" w:rsidP="00FE6699">
      <w:pPr>
        <w:rPr>
          <w:b/>
        </w:rPr>
      </w:pPr>
      <w:r w:rsidRPr="00105805">
        <w:rPr>
          <w:b/>
        </w:rPr>
        <w:t xml:space="preserve">Název </w:t>
      </w:r>
      <w:r w:rsidR="00FB10D7" w:rsidRPr="00105805">
        <w:rPr>
          <w:b/>
        </w:rPr>
        <w:t>veřejné zakázky</w:t>
      </w:r>
      <w:r w:rsidRPr="00105805">
        <w:rPr>
          <w:b/>
        </w:rPr>
        <w:t>:</w:t>
      </w:r>
    </w:p>
    <w:p w14:paraId="769209F6" w14:textId="77777777" w:rsidR="00FE6699" w:rsidRDefault="00FE6699" w:rsidP="00FE6699"/>
    <w:p w14:paraId="7D7873C6" w14:textId="77777777" w:rsidR="00F0044E" w:rsidRDefault="00F0044E" w:rsidP="00FE6699"/>
    <w:p w14:paraId="39714FAE" w14:textId="77777777" w:rsidR="00F0044E" w:rsidRPr="00795EC5" w:rsidRDefault="00F0044E" w:rsidP="00F0044E">
      <w:pPr>
        <w:jc w:val="center"/>
        <w:rPr>
          <w:b/>
          <w:sz w:val="40"/>
        </w:rPr>
      </w:pPr>
      <w:r>
        <w:rPr>
          <w:b/>
          <w:sz w:val="40"/>
        </w:rPr>
        <w:t>Rámcová dohoda na m</w:t>
      </w:r>
      <w:r w:rsidRPr="00A42D6C">
        <w:rPr>
          <w:b/>
          <w:sz w:val="40"/>
        </w:rPr>
        <w:t>odernizac</w:t>
      </w:r>
      <w:r>
        <w:rPr>
          <w:b/>
          <w:sz w:val="40"/>
        </w:rPr>
        <w:t>i</w:t>
      </w:r>
      <w:r w:rsidRPr="00A42D6C">
        <w:rPr>
          <w:b/>
          <w:sz w:val="40"/>
        </w:rPr>
        <w:t xml:space="preserve"> zastávkového informačního systému Středočeského kraje</w:t>
      </w:r>
    </w:p>
    <w:p w14:paraId="4B0A9F9A" w14:textId="77777777" w:rsidR="00F0044E" w:rsidRDefault="00F0044E" w:rsidP="00F0044E"/>
    <w:p w14:paraId="7199A52B" w14:textId="77777777" w:rsidR="00F0044E" w:rsidRDefault="00F0044E" w:rsidP="00F0044E"/>
    <w:tbl>
      <w:tblPr>
        <w:tblW w:w="0" w:type="auto"/>
        <w:tblLook w:val="04A0" w:firstRow="1" w:lastRow="0" w:firstColumn="1" w:lastColumn="0" w:noHBand="0" w:noVBand="1"/>
      </w:tblPr>
      <w:tblGrid>
        <w:gridCol w:w="1951"/>
        <w:gridCol w:w="7229"/>
      </w:tblGrid>
      <w:tr w:rsidR="00F0044E" w:rsidRPr="007A5211" w14:paraId="0D59A2B7" w14:textId="77777777" w:rsidTr="00391D61">
        <w:tc>
          <w:tcPr>
            <w:tcW w:w="9180" w:type="dxa"/>
            <w:gridSpan w:val="2"/>
            <w:tcBorders>
              <w:bottom w:val="single" w:sz="12" w:space="0" w:color="auto"/>
            </w:tcBorders>
            <w:shd w:val="clear" w:color="auto" w:fill="auto"/>
          </w:tcPr>
          <w:p w14:paraId="2E6254BD" w14:textId="77777777" w:rsidR="00F0044E" w:rsidRPr="007A5211" w:rsidRDefault="00F0044E" w:rsidP="00133128">
            <w:pPr>
              <w:pStyle w:val="Textvtabulcezvraznn"/>
            </w:pPr>
            <w:r w:rsidRPr="007A5211">
              <w:t>Zadavatel</w:t>
            </w:r>
          </w:p>
        </w:tc>
      </w:tr>
      <w:tr w:rsidR="00F0044E" w:rsidRPr="007A5211" w14:paraId="457808CB" w14:textId="77777777" w:rsidTr="00391D61">
        <w:tc>
          <w:tcPr>
            <w:tcW w:w="1951" w:type="dxa"/>
            <w:tcBorders>
              <w:top w:val="single" w:sz="12" w:space="0" w:color="auto"/>
            </w:tcBorders>
            <w:shd w:val="clear" w:color="auto" w:fill="auto"/>
          </w:tcPr>
          <w:p w14:paraId="42C407F8" w14:textId="77777777" w:rsidR="00F0044E" w:rsidRPr="007A5211" w:rsidRDefault="00F0044E" w:rsidP="00133128">
            <w:pPr>
              <w:pStyle w:val="Textvtabulce"/>
            </w:pPr>
            <w:r>
              <w:t>Název</w:t>
            </w:r>
            <w:r w:rsidRPr="007A5211">
              <w:t>:</w:t>
            </w:r>
          </w:p>
        </w:tc>
        <w:tc>
          <w:tcPr>
            <w:tcW w:w="7229" w:type="dxa"/>
            <w:tcBorders>
              <w:top w:val="single" w:sz="12" w:space="0" w:color="auto"/>
            </w:tcBorders>
            <w:shd w:val="clear" w:color="auto" w:fill="auto"/>
          </w:tcPr>
          <w:p w14:paraId="7572857D" w14:textId="77777777" w:rsidR="00F0044E" w:rsidRPr="007A5211" w:rsidRDefault="00F0044E" w:rsidP="00133128">
            <w:pPr>
              <w:pStyle w:val="Textvtabulce"/>
            </w:pPr>
            <w:r w:rsidRPr="007A5211">
              <w:t>Středočeský kraj</w:t>
            </w:r>
          </w:p>
        </w:tc>
      </w:tr>
      <w:tr w:rsidR="00F0044E" w:rsidRPr="007A5211" w14:paraId="14932854" w14:textId="77777777" w:rsidTr="00391D61">
        <w:tc>
          <w:tcPr>
            <w:tcW w:w="1951" w:type="dxa"/>
            <w:shd w:val="clear" w:color="auto" w:fill="auto"/>
          </w:tcPr>
          <w:p w14:paraId="28F61B4E" w14:textId="77777777" w:rsidR="00F0044E" w:rsidRPr="007A5211" w:rsidRDefault="00F0044E" w:rsidP="00133128">
            <w:pPr>
              <w:pStyle w:val="Textvtabulce"/>
            </w:pPr>
            <w:r w:rsidRPr="007A5211">
              <w:t>Sídlo:</w:t>
            </w:r>
          </w:p>
        </w:tc>
        <w:tc>
          <w:tcPr>
            <w:tcW w:w="7229" w:type="dxa"/>
            <w:shd w:val="clear" w:color="auto" w:fill="auto"/>
          </w:tcPr>
          <w:p w14:paraId="048244B9" w14:textId="77777777" w:rsidR="00F0044E" w:rsidRPr="007A5211" w:rsidRDefault="00F0044E" w:rsidP="00133128">
            <w:pPr>
              <w:pStyle w:val="Textvtabulce"/>
            </w:pPr>
            <w:r w:rsidRPr="007A5211">
              <w:t>Zborovská 81/11, Smíchov, 150 00 Praha 5</w:t>
            </w:r>
          </w:p>
        </w:tc>
      </w:tr>
      <w:tr w:rsidR="00F0044E" w:rsidRPr="007A5211" w14:paraId="233A8BC7" w14:textId="77777777" w:rsidTr="00391D61">
        <w:tc>
          <w:tcPr>
            <w:tcW w:w="1951" w:type="dxa"/>
            <w:shd w:val="clear" w:color="auto" w:fill="auto"/>
          </w:tcPr>
          <w:p w14:paraId="6C7EDE0D" w14:textId="77777777" w:rsidR="00F0044E" w:rsidRPr="007A5211" w:rsidRDefault="00F0044E" w:rsidP="00133128">
            <w:pPr>
              <w:pStyle w:val="Textvtabulce"/>
            </w:pPr>
            <w:r w:rsidRPr="007A5211">
              <w:t>IČO</w:t>
            </w:r>
            <w:r>
              <w:t>/DIČ</w:t>
            </w:r>
            <w:r w:rsidRPr="007A5211">
              <w:t>:</w:t>
            </w:r>
          </w:p>
        </w:tc>
        <w:tc>
          <w:tcPr>
            <w:tcW w:w="7229" w:type="dxa"/>
            <w:shd w:val="clear" w:color="auto" w:fill="auto"/>
          </w:tcPr>
          <w:p w14:paraId="5A199A1F" w14:textId="77777777" w:rsidR="00F0044E" w:rsidRPr="007A5211" w:rsidRDefault="00F0044E" w:rsidP="00133128">
            <w:pPr>
              <w:pStyle w:val="Textvtabulce"/>
            </w:pPr>
            <w:r w:rsidRPr="007A5211">
              <w:t>70891095</w:t>
            </w:r>
            <w:r>
              <w:t xml:space="preserve"> / </w:t>
            </w:r>
            <w:r w:rsidRPr="007D1336">
              <w:t>CZ70891095</w:t>
            </w:r>
          </w:p>
        </w:tc>
      </w:tr>
      <w:tr w:rsidR="00F0044E" w:rsidRPr="007A5211" w14:paraId="353B494B" w14:textId="77777777" w:rsidTr="00391D61">
        <w:tc>
          <w:tcPr>
            <w:tcW w:w="1951" w:type="dxa"/>
            <w:shd w:val="clear" w:color="auto" w:fill="auto"/>
          </w:tcPr>
          <w:p w14:paraId="18111614" w14:textId="77777777" w:rsidR="00F0044E" w:rsidRPr="007A5211" w:rsidRDefault="00F0044E" w:rsidP="00133128">
            <w:pPr>
              <w:pStyle w:val="Textvtabulce"/>
            </w:pPr>
            <w:r w:rsidRPr="007A5211">
              <w:t>Profil zadavatele:</w:t>
            </w:r>
          </w:p>
        </w:tc>
        <w:tc>
          <w:tcPr>
            <w:tcW w:w="7229" w:type="dxa"/>
            <w:shd w:val="clear" w:color="auto" w:fill="auto"/>
          </w:tcPr>
          <w:p w14:paraId="6288CD5D" w14:textId="77777777" w:rsidR="00F0044E" w:rsidRPr="00546962" w:rsidRDefault="00F0044E" w:rsidP="00133128">
            <w:pPr>
              <w:pStyle w:val="Textvtabulce"/>
            </w:pPr>
            <w:r w:rsidRPr="00546962">
              <w:t>https://zakazky.kr-stredocesky.cz</w:t>
            </w:r>
          </w:p>
        </w:tc>
      </w:tr>
    </w:tbl>
    <w:p w14:paraId="3E779A4A" w14:textId="77777777" w:rsidR="00F0044E" w:rsidRDefault="00F0044E" w:rsidP="00F0044E">
      <w:r>
        <w:t>Zastoupený:</w:t>
      </w:r>
      <w:r>
        <w:tab/>
        <w:t xml:space="preserve">         Martin Herman, radní pro oblast investic a veřejných zakázek   </w:t>
      </w:r>
    </w:p>
    <w:tbl>
      <w:tblPr>
        <w:tblW w:w="0" w:type="auto"/>
        <w:tblLook w:val="04A0" w:firstRow="1" w:lastRow="0" w:firstColumn="1" w:lastColumn="0" w:noHBand="0" w:noVBand="1"/>
      </w:tblPr>
      <w:tblGrid>
        <w:gridCol w:w="1951"/>
        <w:gridCol w:w="7229"/>
      </w:tblGrid>
      <w:tr w:rsidR="00F0044E" w:rsidRPr="007A5211" w14:paraId="3BCA6AC6" w14:textId="77777777" w:rsidTr="00391D61">
        <w:tc>
          <w:tcPr>
            <w:tcW w:w="9180" w:type="dxa"/>
            <w:gridSpan w:val="2"/>
            <w:tcBorders>
              <w:bottom w:val="single" w:sz="12" w:space="0" w:color="auto"/>
            </w:tcBorders>
            <w:shd w:val="clear" w:color="auto" w:fill="auto"/>
          </w:tcPr>
          <w:p w14:paraId="0D66CCC5" w14:textId="77777777" w:rsidR="00F0044E" w:rsidRPr="007A5211" w:rsidRDefault="00F0044E" w:rsidP="00133128">
            <w:pPr>
              <w:pStyle w:val="Textvtabulcezvraznn"/>
            </w:pPr>
            <w:r>
              <w:t>Zástupce zadavatele</w:t>
            </w:r>
          </w:p>
        </w:tc>
      </w:tr>
      <w:tr w:rsidR="00F0044E" w:rsidRPr="007A5211" w14:paraId="6C15579D" w14:textId="77777777" w:rsidTr="00391D61">
        <w:tc>
          <w:tcPr>
            <w:tcW w:w="1951" w:type="dxa"/>
            <w:tcBorders>
              <w:top w:val="single" w:sz="12" w:space="0" w:color="auto"/>
            </w:tcBorders>
            <w:shd w:val="clear" w:color="auto" w:fill="auto"/>
          </w:tcPr>
          <w:p w14:paraId="5F6EF329" w14:textId="77777777" w:rsidR="00F0044E" w:rsidRPr="007A5211" w:rsidRDefault="00F0044E" w:rsidP="00133128">
            <w:pPr>
              <w:pStyle w:val="Textvtabulce"/>
            </w:pPr>
            <w:r>
              <w:t>Název</w:t>
            </w:r>
            <w:r w:rsidRPr="007A5211">
              <w:t>:</w:t>
            </w:r>
          </w:p>
        </w:tc>
        <w:tc>
          <w:tcPr>
            <w:tcW w:w="7229" w:type="dxa"/>
            <w:tcBorders>
              <w:top w:val="single" w:sz="12" w:space="0" w:color="auto"/>
            </w:tcBorders>
            <w:shd w:val="clear" w:color="auto" w:fill="auto"/>
          </w:tcPr>
          <w:p w14:paraId="3E7365CE" w14:textId="77777777" w:rsidR="00F0044E" w:rsidRPr="007A5211" w:rsidRDefault="00F0044E" w:rsidP="00133128">
            <w:pPr>
              <w:pStyle w:val="Textvtabulce"/>
            </w:pPr>
            <w:r w:rsidRPr="007B6C71">
              <w:t>Advokátní kancelář</w:t>
            </w:r>
            <w:r>
              <w:t xml:space="preserve"> </w:t>
            </w:r>
            <w:r w:rsidRPr="007B6C71">
              <w:t>Volopich, Tomšíček &amp; spol., s.r.o.</w:t>
            </w:r>
          </w:p>
        </w:tc>
      </w:tr>
      <w:tr w:rsidR="00F0044E" w:rsidRPr="007A5211" w14:paraId="47E9D2FC" w14:textId="77777777" w:rsidTr="00391D61">
        <w:tc>
          <w:tcPr>
            <w:tcW w:w="1951" w:type="dxa"/>
            <w:shd w:val="clear" w:color="auto" w:fill="auto"/>
          </w:tcPr>
          <w:p w14:paraId="09CF22B1" w14:textId="77777777" w:rsidR="00F0044E" w:rsidRPr="007A5211" w:rsidRDefault="00F0044E" w:rsidP="00133128">
            <w:pPr>
              <w:pStyle w:val="Textvtabulce"/>
            </w:pPr>
            <w:r w:rsidRPr="007A5211">
              <w:t>Sídlo:</w:t>
            </w:r>
          </w:p>
        </w:tc>
        <w:tc>
          <w:tcPr>
            <w:tcW w:w="7229" w:type="dxa"/>
            <w:shd w:val="clear" w:color="auto" w:fill="auto"/>
          </w:tcPr>
          <w:p w14:paraId="6A728F21" w14:textId="77777777" w:rsidR="00F0044E" w:rsidRPr="007A5211" w:rsidRDefault="00F0044E" w:rsidP="00133128">
            <w:pPr>
              <w:pStyle w:val="Textvtabulce"/>
            </w:pPr>
            <w:r w:rsidRPr="007B6C71">
              <w:t>Vlastina 602/23, Severní Předměstí</w:t>
            </w:r>
            <w:r>
              <w:t>, 323 00 Plzeň</w:t>
            </w:r>
          </w:p>
        </w:tc>
      </w:tr>
      <w:tr w:rsidR="00F0044E" w:rsidRPr="007A5211" w14:paraId="0ABFDC70" w14:textId="77777777" w:rsidTr="00391D61">
        <w:tc>
          <w:tcPr>
            <w:tcW w:w="1951" w:type="dxa"/>
            <w:shd w:val="clear" w:color="auto" w:fill="auto"/>
          </w:tcPr>
          <w:p w14:paraId="704FD9E5" w14:textId="77777777" w:rsidR="00F0044E" w:rsidRPr="007A5211" w:rsidRDefault="00F0044E" w:rsidP="00133128">
            <w:pPr>
              <w:pStyle w:val="Textvtabulce"/>
            </w:pPr>
            <w:r w:rsidRPr="007A5211">
              <w:t>IČO:</w:t>
            </w:r>
          </w:p>
        </w:tc>
        <w:tc>
          <w:tcPr>
            <w:tcW w:w="7229" w:type="dxa"/>
            <w:shd w:val="clear" w:color="auto" w:fill="auto"/>
          </w:tcPr>
          <w:p w14:paraId="426729EA" w14:textId="77777777" w:rsidR="00F0044E" w:rsidRPr="007A5211" w:rsidRDefault="00F0044E" w:rsidP="00133128">
            <w:pPr>
              <w:pStyle w:val="Textvtabulce"/>
            </w:pPr>
            <w:r w:rsidRPr="007B6C71">
              <w:t xml:space="preserve">02476649 </w:t>
            </w:r>
            <w:r>
              <w:t xml:space="preserve">/ </w:t>
            </w:r>
            <w:r w:rsidRPr="007D1336">
              <w:t>CZ</w:t>
            </w:r>
            <w:r w:rsidRPr="007B6C71">
              <w:t>02476649</w:t>
            </w:r>
          </w:p>
        </w:tc>
      </w:tr>
    </w:tbl>
    <w:p w14:paraId="64D4BE2D" w14:textId="77777777" w:rsidR="00F0044E" w:rsidRDefault="00F0044E" w:rsidP="00FE6699"/>
    <w:p w14:paraId="4AC0260B" w14:textId="77777777" w:rsidR="00BD17D5" w:rsidRPr="00BD17D5" w:rsidRDefault="00D23F1F" w:rsidP="00E41BCF">
      <w:pPr>
        <w:pStyle w:val="Nadpis1"/>
      </w:pPr>
      <w:bookmarkStart w:id="0" w:name="_Toc474408268"/>
      <w:r>
        <w:lastRenderedPageBreak/>
        <w:t>Požadavky zadavatele na kvalifikaci</w:t>
      </w:r>
      <w:bookmarkEnd w:id="0"/>
    </w:p>
    <w:p w14:paraId="488047C4" w14:textId="54018E55" w:rsidR="00D23F1F" w:rsidRPr="00D23F1F" w:rsidRDefault="00D23F1F" w:rsidP="00D23F1F">
      <w:r w:rsidRPr="00D23F1F">
        <w:t>Zadavatel požaduje prokázání</w:t>
      </w:r>
      <w:r w:rsidR="00517F9D">
        <w:t>:</w:t>
      </w:r>
    </w:p>
    <w:p w14:paraId="7C4E06E3" w14:textId="77777777" w:rsidR="00D23F1F" w:rsidRPr="00D23F1F" w:rsidRDefault="00D23F1F" w:rsidP="00D23F1F">
      <w:pPr>
        <w:pStyle w:val="Odstavecseseznamem"/>
        <w:numPr>
          <w:ilvl w:val="0"/>
          <w:numId w:val="10"/>
        </w:numPr>
      </w:pPr>
      <w:r w:rsidRPr="00D23F1F">
        <w:t>základní způsobilosti dle bodu 2 této přílohy,</w:t>
      </w:r>
    </w:p>
    <w:p w14:paraId="586B26C1" w14:textId="77777777" w:rsidR="00D23F1F" w:rsidRPr="00D23F1F" w:rsidRDefault="00D23F1F" w:rsidP="00D23F1F">
      <w:pPr>
        <w:pStyle w:val="Odstavecseseznamem"/>
        <w:numPr>
          <w:ilvl w:val="0"/>
          <w:numId w:val="10"/>
        </w:numPr>
      </w:pPr>
      <w:r w:rsidRPr="00D23F1F">
        <w:t>profesní způsobilosti dle bodu 3 této přílohy,</w:t>
      </w:r>
    </w:p>
    <w:p w14:paraId="21BA905C" w14:textId="77777777" w:rsidR="00D23F1F" w:rsidRDefault="00D23F1F" w:rsidP="00D23F1F">
      <w:pPr>
        <w:pStyle w:val="Odstavecseseznamem"/>
        <w:numPr>
          <w:ilvl w:val="0"/>
          <w:numId w:val="10"/>
        </w:numPr>
      </w:pPr>
      <w:r w:rsidRPr="00D23F1F">
        <w:t>technické kvalifikace dle bodu 5 této přílohy.</w:t>
      </w:r>
    </w:p>
    <w:p w14:paraId="0D40CF86" w14:textId="77777777" w:rsidR="00D23F1F" w:rsidRDefault="00D23F1F" w:rsidP="00E41BCF">
      <w:pPr>
        <w:pStyle w:val="Nadpis1"/>
      </w:pPr>
      <w:r>
        <w:t>Základní způsobilost</w:t>
      </w:r>
    </w:p>
    <w:p w14:paraId="0A6600B4" w14:textId="7BD5749D" w:rsidR="00D23F1F" w:rsidRDefault="00D23F1F" w:rsidP="00D23F1F">
      <w:r w:rsidRPr="00D23F1F">
        <w:t xml:space="preserve">Dodavatel prokáže základní způsobilost v rozsahu a způsobem dle </w:t>
      </w:r>
      <w:r w:rsidR="009A7D97">
        <w:t xml:space="preserve">ust. § 74 </w:t>
      </w:r>
      <w:r w:rsidRPr="00D23F1F">
        <w:t>ZZVZ.</w:t>
      </w:r>
    </w:p>
    <w:p w14:paraId="426C29F3" w14:textId="07CA24E1" w:rsidR="009A7D97" w:rsidRDefault="009A7D97" w:rsidP="009A7D97">
      <w:pPr>
        <w:spacing w:after="0"/>
      </w:pPr>
      <w:r w:rsidRPr="00F12507">
        <w:t xml:space="preserve">Způsobilým není dodavatel, </w:t>
      </w:r>
      <w:r>
        <w:t xml:space="preserve">který: </w:t>
      </w:r>
      <w:r w:rsidRPr="00F12507">
        <w:t xml:space="preserve"> </w:t>
      </w:r>
    </w:p>
    <w:p w14:paraId="4A9229A4" w14:textId="77777777" w:rsidR="009A7D97" w:rsidRPr="00F12507" w:rsidRDefault="009A7D97" w:rsidP="009A7D97">
      <w:pPr>
        <w:spacing w:after="0"/>
      </w:pPr>
    </w:p>
    <w:p w14:paraId="645454AA" w14:textId="77777777" w:rsidR="009A7D97" w:rsidRPr="00F12507" w:rsidRDefault="009A7D97" w:rsidP="009A7D97">
      <w:pPr>
        <w:numPr>
          <w:ilvl w:val="0"/>
          <w:numId w:val="20"/>
        </w:numPr>
        <w:spacing w:after="0"/>
      </w:pPr>
      <w:r w:rsidRPr="00F12507">
        <w:t xml:space="preserve">byl v zemi svého sídla v posledních 5 letech před zahájením zadávacího řízení pravomocně odsouzen pro trestný čin uvedený v příloze č. 3 k ZZVZ nebo obdobný trestný čin podle právního řádu země sídla dodavatele; k zahlazeným odsouzením se nepřihlíží, </w:t>
      </w:r>
    </w:p>
    <w:p w14:paraId="1240E0AB" w14:textId="77777777" w:rsidR="009A7D97" w:rsidRPr="00F12507" w:rsidRDefault="009A7D97" w:rsidP="009A7D97">
      <w:pPr>
        <w:numPr>
          <w:ilvl w:val="0"/>
          <w:numId w:val="20"/>
        </w:numPr>
        <w:spacing w:after="0"/>
      </w:pPr>
      <w:r w:rsidRPr="00F12507">
        <w:t xml:space="preserve">má v České republice nebo v zemi svého sídla v evidenci daní zachycen splatný daňový nedoplatek, </w:t>
      </w:r>
    </w:p>
    <w:p w14:paraId="5DF7AA9B" w14:textId="77777777" w:rsidR="009A7D97" w:rsidRPr="00F12507" w:rsidRDefault="009A7D97" w:rsidP="009A7D97">
      <w:pPr>
        <w:numPr>
          <w:ilvl w:val="0"/>
          <w:numId w:val="20"/>
        </w:numPr>
        <w:spacing w:after="0"/>
      </w:pPr>
      <w:r w:rsidRPr="00F12507">
        <w:t xml:space="preserve">má v České republice nebo v zemi svého sídla splatný nedoplatek na pojistném nebo na penále na veřejné zdravotní pojištění, </w:t>
      </w:r>
    </w:p>
    <w:p w14:paraId="0158D5C7" w14:textId="77777777" w:rsidR="009A7D97" w:rsidRPr="00F12507" w:rsidRDefault="009A7D97" w:rsidP="009A7D97">
      <w:pPr>
        <w:numPr>
          <w:ilvl w:val="0"/>
          <w:numId w:val="20"/>
        </w:numPr>
        <w:spacing w:after="0"/>
      </w:pPr>
      <w:r w:rsidRPr="00F12507">
        <w:t xml:space="preserve">má v České republice nebo v zemi svého sídla splatný nedoplatek na pojistném nebo na penále na sociální zabezpečení a příspěvku na státní politiku zaměstnanosti, </w:t>
      </w:r>
    </w:p>
    <w:p w14:paraId="480DE21F" w14:textId="77777777" w:rsidR="009A7D97" w:rsidRPr="00F12507" w:rsidRDefault="009A7D97" w:rsidP="009A7D97">
      <w:pPr>
        <w:numPr>
          <w:ilvl w:val="0"/>
          <w:numId w:val="20"/>
        </w:numPr>
        <w:spacing w:after="0"/>
      </w:pPr>
      <w:r w:rsidRPr="00F12507">
        <w:t xml:space="preserve">je v likvidaci (ust. § 187 zák. č. 89/2012 Sb., občanský zákoník, ve znění pozdějších předpisů), proti němuž bylo vydáno rozhodnutí o úpadku (ust. § 136 zák. č. 182/2006, o úpadku a způsobech jeho řešení (insolvenční zákon), ve znění pozdějších předpisů), vůči němuž byla nařízena nucená správa podle jiného právního předpisu (např. zák. č. 21/1992 Sb., o bankách, ve znění pozdějších předpisů, zákon č. 87/1995 Sb., o spořitelních a úvěrních družstvech a některých opatřeních s tím souvisejících a o doplnění zákona České národní rady č. 586/1992 Sb., o daních z příjmů, ve znění pozdějších předpisů, zákon č. 363/1999 Sb., o pojišťovnictví a o změně některých souvisejících zákonů, ve znění pozdějších předpisů) nebo v obdobné situaci podle právního řádu země sídla dodavatele. </w:t>
      </w:r>
    </w:p>
    <w:p w14:paraId="57A8AD42" w14:textId="77777777" w:rsidR="009A7D97" w:rsidRDefault="009A7D97" w:rsidP="009A7D97">
      <w:pPr>
        <w:spacing w:after="0"/>
      </w:pPr>
    </w:p>
    <w:p w14:paraId="7D0B94CA" w14:textId="14528296" w:rsidR="009A7D97" w:rsidRPr="00F12507" w:rsidRDefault="009A7D97" w:rsidP="009A7D97">
      <w:pPr>
        <w:spacing w:after="0"/>
      </w:pPr>
      <w:r w:rsidRPr="00F12507">
        <w:t xml:space="preserve">Zadavatel upozorňuje dodavatele, že je-li </w:t>
      </w:r>
      <w:r w:rsidRPr="00F12507">
        <w:rPr>
          <w:b/>
        </w:rPr>
        <w:t>dodavatelem právnická osoba</w:t>
      </w:r>
      <w:r w:rsidRPr="00F12507">
        <w:t xml:space="preserve">, musí podmínku podle čl. </w:t>
      </w:r>
      <w:r>
        <w:t>2</w:t>
      </w:r>
      <w:r w:rsidRPr="00F12507">
        <w:t xml:space="preserve"> písm. a) </w:t>
      </w:r>
      <w:r w:rsidRPr="00F12507">
        <w:rPr>
          <w:u w:val="single"/>
        </w:rPr>
        <w:t>splňovat tato právnická osoba a zároveň každý člen statutárního orgánu této právnické osoby</w:t>
      </w:r>
      <w:r w:rsidRPr="00F12507">
        <w:t xml:space="preserve">. Je-li členem statutárního orgánu dodavatele právnická osoba, musí podmínku podle </w:t>
      </w:r>
      <w:r>
        <w:t>čl. 2</w:t>
      </w:r>
      <w:r w:rsidRPr="00F12507">
        <w:t xml:space="preserve"> písm. a) splňovat: </w:t>
      </w:r>
    </w:p>
    <w:p w14:paraId="40580517" w14:textId="77777777" w:rsidR="009A7D97" w:rsidRPr="00F12507" w:rsidRDefault="009A7D97" w:rsidP="00546962">
      <w:pPr>
        <w:numPr>
          <w:ilvl w:val="0"/>
          <w:numId w:val="30"/>
        </w:numPr>
        <w:spacing w:after="0"/>
      </w:pPr>
      <w:r w:rsidRPr="00F12507">
        <w:t xml:space="preserve">tato právnická osoba, </w:t>
      </w:r>
    </w:p>
    <w:p w14:paraId="0BC81901" w14:textId="77777777" w:rsidR="009A7D97" w:rsidRPr="00F12507" w:rsidRDefault="009A7D97" w:rsidP="00546962">
      <w:pPr>
        <w:numPr>
          <w:ilvl w:val="0"/>
          <w:numId w:val="30"/>
        </w:numPr>
        <w:spacing w:after="0"/>
      </w:pPr>
      <w:r w:rsidRPr="00F12507">
        <w:t xml:space="preserve">každý člen statutárního orgánu této právnické osoby a </w:t>
      </w:r>
    </w:p>
    <w:p w14:paraId="1673E015" w14:textId="77777777" w:rsidR="009A7D97" w:rsidRPr="00F12507" w:rsidRDefault="009A7D97" w:rsidP="00546962">
      <w:pPr>
        <w:numPr>
          <w:ilvl w:val="0"/>
          <w:numId w:val="30"/>
        </w:numPr>
        <w:spacing w:after="0"/>
      </w:pPr>
      <w:r w:rsidRPr="00F12507">
        <w:t xml:space="preserve">osoba zastupující tuto právnickou osobu v statutárním orgánu dodavatele. </w:t>
      </w:r>
    </w:p>
    <w:p w14:paraId="76683940" w14:textId="77777777" w:rsidR="009A7D97" w:rsidRDefault="009A7D97" w:rsidP="009A7D97">
      <w:pPr>
        <w:spacing w:after="0"/>
      </w:pPr>
    </w:p>
    <w:p w14:paraId="17695239" w14:textId="74FA3687" w:rsidR="009A7D97" w:rsidRPr="00F12507" w:rsidRDefault="009A7D97" w:rsidP="009A7D97">
      <w:pPr>
        <w:spacing w:after="0"/>
      </w:pPr>
      <w:r w:rsidRPr="00F12507">
        <w:t>Účastní-li se zadávacího řízení pobočka závodu</w:t>
      </w:r>
      <w:r w:rsidR="00DF1889">
        <w:t>:</w:t>
      </w:r>
      <w:r w:rsidRPr="00F12507">
        <w:t xml:space="preserve"> </w:t>
      </w:r>
    </w:p>
    <w:p w14:paraId="3E8425DB" w14:textId="76588530" w:rsidR="009A7D97" w:rsidRPr="00F12507" w:rsidRDefault="009A7D97" w:rsidP="009A7D97">
      <w:pPr>
        <w:spacing w:after="0"/>
        <w:ind w:left="705" w:hanging="705"/>
      </w:pPr>
      <w:r w:rsidRPr="00F12507">
        <w:lastRenderedPageBreak/>
        <w:t>a)</w:t>
      </w:r>
      <w:r w:rsidRPr="00F12507">
        <w:tab/>
        <w:t xml:space="preserve">zahraniční právnické osoby, musí podmínku podle </w:t>
      </w:r>
      <w:r w:rsidR="00DF1889">
        <w:t xml:space="preserve">ust. </w:t>
      </w:r>
      <w:r w:rsidRPr="00F12507">
        <w:t xml:space="preserve">§ 74 odst. 1 písm. a) </w:t>
      </w:r>
      <w:r w:rsidR="00105805">
        <w:t>ZZVZ</w:t>
      </w:r>
      <w:r w:rsidRPr="00F12507">
        <w:t xml:space="preserve"> splňovat tato právnická osoba a vedoucí pobočky závodu, </w:t>
      </w:r>
    </w:p>
    <w:p w14:paraId="6EAD1188" w14:textId="2EA6F197" w:rsidR="009A7D97" w:rsidRPr="00F12507" w:rsidRDefault="009A7D97" w:rsidP="009A7D97">
      <w:pPr>
        <w:spacing w:after="0"/>
        <w:ind w:left="705" w:hanging="705"/>
      </w:pPr>
      <w:r w:rsidRPr="00F12507">
        <w:t>b)</w:t>
      </w:r>
      <w:r w:rsidRPr="00F12507">
        <w:tab/>
        <w:t xml:space="preserve">české právnické osoby, musí podmínku podle </w:t>
      </w:r>
      <w:r w:rsidR="00DF1889">
        <w:t xml:space="preserve">ust. </w:t>
      </w:r>
      <w:r w:rsidRPr="00F12507">
        <w:t xml:space="preserve">§ 74 odst. 1 písm. a) </w:t>
      </w:r>
      <w:r w:rsidR="00105805">
        <w:t>ZZVZ</w:t>
      </w:r>
      <w:r w:rsidRPr="00F12507">
        <w:t xml:space="preserve"> splňovat: </w:t>
      </w:r>
    </w:p>
    <w:p w14:paraId="1FE2F8AA" w14:textId="5B12154C" w:rsidR="000D639D" w:rsidRPr="00F12507" w:rsidRDefault="009A7D97" w:rsidP="00664BEF">
      <w:pPr>
        <w:pStyle w:val="Odstavecseseznamem"/>
        <w:numPr>
          <w:ilvl w:val="0"/>
          <w:numId w:val="31"/>
        </w:numPr>
        <w:ind w:left="1276"/>
        <w:jc w:val="both"/>
      </w:pPr>
      <w:r w:rsidRPr="00F12507">
        <w:t>právnická osoba a zároveň každý člen statutárního orgánu této právnické osoby. Je-li členem statutárního orgánu dodavatele právnická osoba, musí tuto podmínku splňovat (i) tato právnická osoba, (</w:t>
      </w:r>
      <w:proofErr w:type="spellStart"/>
      <w:r w:rsidRPr="00F12507">
        <w:t>ii</w:t>
      </w:r>
      <w:proofErr w:type="spellEnd"/>
      <w:r w:rsidRPr="00F12507">
        <w:t>) každý člen statutárního orgánu této právnické osoby a (</w:t>
      </w:r>
      <w:proofErr w:type="spellStart"/>
      <w:r w:rsidRPr="00F12507">
        <w:t>iii</w:t>
      </w:r>
      <w:proofErr w:type="spellEnd"/>
      <w:r w:rsidRPr="00F12507">
        <w:t>) osoba zastupující tuto právnickou osobu ve</w:t>
      </w:r>
      <w:r w:rsidR="00DF1889">
        <w:t> </w:t>
      </w:r>
      <w:r w:rsidRPr="00F12507">
        <w:t xml:space="preserve">statutárním orgánu dodavatele a </w:t>
      </w:r>
    </w:p>
    <w:p w14:paraId="41EF2CE4" w14:textId="24462D67" w:rsidR="009A7D97" w:rsidRPr="00F12507" w:rsidRDefault="009A7D97" w:rsidP="00546962">
      <w:pPr>
        <w:pStyle w:val="Odstavecseseznamem"/>
        <w:numPr>
          <w:ilvl w:val="0"/>
          <w:numId w:val="31"/>
        </w:numPr>
        <w:ind w:left="1276"/>
      </w:pPr>
      <w:r w:rsidRPr="00F12507">
        <w:t>vedoucí pobočky závodu.</w:t>
      </w:r>
    </w:p>
    <w:p w14:paraId="0F99EC11" w14:textId="77777777" w:rsidR="009A7D97" w:rsidRDefault="009A7D97" w:rsidP="009A7D97">
      <w:pPr>
        <w:spacing w:after="0"/>
      </w:pPr>
    </w:p>
    <w:p w14:paraId="1F0200D3" w14:textId="33E20A56" w:rsidR="009A7D97" w:rsidRDefault="009A7D97" w:rsidP="009A7D97">
      <w:pPr>
        <w:spacing w:after="0"/>
      </w:pPr>
      <w:r>
        <w:t xml:space="preserve">Dodavatel prokazuje splnění podmínek základní způsobilosti ve vztahu k České republice předložením: </w:t>
      </w:r>
    </w:p>
    <w:p w14:paraId="62C0F873" w14:textId="77777777" w:rsidR="009A7D97" w:rsidRPr="0009339D" w:rsidRDefault="009A7D97" w:rsidP="009A7D97">
      <w:pPr>
        <w:spacing w:after="0"/>
      </w:pPr>
    </w:p>
    <w:p w14:paraId="20083BDB" w14:textId="3D728158" w:rsidR="009A7D97" w:rsidRDefault="009A7D97" w:rsidP="009A7D97">
      <w:pPr>
        <w:pStyle w:val="Odstavecseseznamem"/>
        <w:ind w:left="1407" w:hanging="840"/>
        <w:jc w:val="both"/>
      </w:pPr>
      <w:r>
        <w:t>a)</w:t>
      </w:r>
      <w:r>
        <w:tab/>
        <w:t>výpisu z evidence Rejstříku trestů ve vztahu k čl. 2 písm. a) [</w:t>
      </w:r>
      <w:r w:rsidR="00DF1889">
        <w:t xml:space="preserve">ust. </w:t>
      </w:r>
      <w:r>
        <w:t>§ 75 odst. 1 písm. a) ZZVZ],</w:t>
      </w:r>
    </w:p>
    <w:p w14:paraId="76ECFF7F" w14:textId="7CF7F5AB" w:rsidR="009A7D97" w:rsidRDefault="009A7D97" w:rsidP="009A7D97">
      <w:pPr>
        <w:pStyle w:val="Odstavecseseznamem"/>
        <w:ind w:left="1416" w:hanging="840"/>
        <w:jc w:val="both"/>
      </w:pPr>
      <w:r>
        <w:t>b)</w:t>
      </w:r>
      <w:r>
        <w:tab/>
        <w:t>potvrzení příslušného finančního úřadu ve vztahu k čl. 2 písm. b) [</w:t>
      </w:r>
      <w:r w:rsidR="00DF1889">
        <w:t xml:space="preserve">ust. </w:t>
      </w:r>
      <w:r>
        <w:t>§ 75 odst. 1 písm. b) ZZVZ],</w:t>
      </w:r>
    </w:p>
    <w:p w14:paraId="7D129B27" w14:textId="4F989D0D" w:rsidR="009A7D97" w:rsidRDefault="009A7D97" w:rsidP="009A7D97">
      <w:pPr>
        <w:pStyle w:val="Odstavecseseznamem"/>
        <w:ind w:left="1407" w:hanging="840"/>
        <w:jc w:val="both"/>
      </w:pPr>
      <w:r>
        <w:t>c)</w:t>
      </w:r>
      <w:r>
        <w:tab/>
        <w:t>písemného čestného prohlášení ve vztahu ke spotřební dani [</w:t>
      </w:r>
      <w:r w:rsidR="00DF1889">
        <w:t xml:space="preserve">ust. </w:t>
      </w:r>
      <w:r>
        <w:t>§ 75 odst. 1 písm. c) ZZVZ],</w:t>
      </w:r>
    </w:p>
    <w:p w14:paraId="4DD71649" w14:textId="5FC7EE8E" w:rsidR="009A7D97" w:rsidRDefault="009A7D97" w:rsidP="009A7D97">
      <w:pPr>
        <w:pStyle w:val="Odstavecseseznamem"/>
        <w:ind w:left="1407" w:hanging="840"/>
        <w:jc w:val="both"/>
      </w:pPr>
      <w:r>
        <w:t>d)</w:t>
      </w:r>
      <w:r>
        <w:tab/>
        <w:t>písemného čestného prohlášení, ve vztahu k čl. 2 písm. c) [</w:t>
      </w:r>
      <w:r w:rsidR="00DF1889">
        <w:t xml:space="preserve">ust. </w:t>
      </w:r>
      <w:r>
        <w:t xml:space="preserve">§ 75 odst. 1 písm. d) ZZVZ]; </w:t>
      </w:r>
    </w:p>
    <w:p w14:paraId="4F7ED6BF" w14:textId="720AAA03" w:rsidR="009A7D97" w:rsidRDefault="009A7D97" w:rsidP="009A7D97">
      <w:pPr>
        <w:pStyle w:val="Odstavecseseznamem"/>
        <w:ind w:left="1407" w:hanging="840"/>
        <w:jc w:val="both"/>
      </w:pPr>
      <w:r>
        <w:t>e)</w:t>
      </w:r>
      <w:r>
        <w:tab/>
        <w:t>potvrzení příslušné okresní správy sociálního zabezpečení ve vztahu k čl. 2 písm. d) [</w:t>
      </w:r>
      <w:r w:rsidR="00DF1889">
        <w:t xml:space="preserve">ust. </w:t>
      </w:r>
      <w:r>
        <w:t>§ 75 odst. 1 písm. e) ZZVZ],</w:t>
      </w:r>
    </w:p>
    <w:p w14:paraId="50012A43" w14:textId="1E293273" w:rsidR="009A7D97" w:rsidRDefault="009A7D97" w:rsidP="009A7D97">
      <w:pPr>
        <w:pStyle w:val="Odstavecseseznamem"/>
        <w:ind w:left="1407" w:hanging="840"/>
        <w:jc w:val="both"/>
      </w:pPr>
      <w:r>
        <w:t>f)</w:t>
      </w:r>
      <w:r>
        <w:tab/>
        <w:t>výpisu z obchodního rejstříku, nebo předložením písemného čestného prohlášení v případě, že není v obchodním rejstříku zapsán ve vztahu k čl. 2 písm. e) [</w:t>
      </w:r>
      <w:r w:rsidR="00DF1889">
        <w:t xml:space="preserve">ust. </w:t>
      </w:r>
      <w:r>
        <w:t>§ 75 odst. 1 písm. f) ZZVZ].</w:t>
      </w:r>
    </w:p>
    <w:p w14:paraId="0635B5A3" w14:textId="77777777" w:rsidR="00D23F1F" w:rsidRDefault="00D23F1F" w:rsidP="00E41BCF">
      <w:pPr>
        <w:pStyle w:val="Nadpis1"/>
      </w:pPr>
      <w:r>
        <w:t>Profesní způsobilost</w:t>
      </w:r>
    </w:p>
    <w:p w14:paraId="5585E330" w14:textId="1417B7A6" w:rsidR="00D23F1F" w:rsidRPr="00D23F1F" w:rsidRDefault="00D23F1F" w:rsidP="00D23F1F">
      <w:r w:rsidRPr="00D23F1F">
        <w:t>Zadavatel v souladu s</w:t>
      </w:r>
      <w:r w:rsidR="00DF1889">
        <w:t xml:space="preserve"> ust. </w:t>
      </w:r>
      <w:r w:rsidRPr="00D23F1F">
        <w:t xml:space="preserve">§ 77 odst. 1 ZZVZ požaduje, aby dodavatel předložil </w:t>
      </w:r>
      <w:r w:rsidR="002B585D">
        <w:t>výpis z </w:t>
      </w:r>
      <w:r w:rsidRPr="00D23F1F">
        <w:t>obchodního rejstříku nebo jiné obdobné evidence, pokud jiný právní předpis zápis do takové evidence vyžaduje.</w:t>
      </w:r>
    </w:p>
    <w:p w14:paraId="2CF6301D" w14:textId="77777777" w:rsidR="00D23F1F" w:rsidRDefault="00D23F1F" w:rsidP="00E41BCF">
      <w:pPr>
        <w:pStyle w:val="Nadpis1"/>
      </w:pPr>
      <w:r>
        <w:t>Ekonomická kvalifikace</w:t>
      </w:r>
    </w:p>
    <w:p w14:paraId="7BA09A94" w14:textId="77777777" w:rsidR="00D23F1F" w:rsidRDefault="00EB2811" w:rsidP="00D23F1F">
      <w:r>
        <w:t>N</w:t>
      </w:r>
      <w:r w:rsidR="00D23F1F">
        <w:t>ení požadována</w:t>
      </w:r>
      <w:r w:rsidR="00D23F1F" w:rsidRPr="00D23F1F">
        <w:t>.</w:t>
      </w:r>
    </w:p>
    <w:p w14:paraId="5B571BFF" w14:textId="77777777" w:rsidR="00D23F1F" w:rsidRDefault="00D23F1F" w:rsidP="00E41BCF">
      <w:pPr>
        <w:pStyle w:val="Nadpis1"/>
      </w:pPr>
      <w:r>
        <w:t>Technická</w:t>
      </w:r>
      <w:r w:rsidRPr="000D67BA">
        <w:t xml:space="preserve"> </w:t>
      </w:r>
      <w:r>
        <w:t>kvalifikace</w:t>
      </w:r>
    </w:p>
    <w:p w14:paraId="37D9E5C5" w14:textId="716A55AC" w:rsidR="00D23F1F" w:rsidRDefault="00D23F1F" w:rsidP="00D23F1F">
      <w:r w:rsidRPr="00D23F1F">
        <w:t>Zadavatel v souladu s</w:t>
      </w:r>
      <w:r w:rsidR="00DF1889">
        <w:t xml:space="preserve"> ust. </w:t>
      </w:r>
      <w:r w:rsidRPr="00D23F1F">
        <w:t>§ 79 ZZVZ požaduje prokázání technické kvalifikace v následujícím rozsahu</w:t>
      </w:r>
      <w:r>
        <w:t>.</w:t>
      </w:r>
    </w:p>
    <w:p w14:paraId="3D509221" w14:textId="77777777" w:rsidR="00D23F1F" w:rsidRPr="002E3C15" w:rsidRDefault="00D23F1F" w:rsidP="00D23F1F">
      <w:pPr>
        <w:pStyle w:val="Nadpis2"/>
        <w:keepLines w:val="0"/>
        <w:suppressAutoHyphens/>
        <w:spacing w:before="180" w:after="60"/>
        <w:ind w:left="567" w:hanging="567"/>
        <w:jc w:val="left"/>
      </w:pPr>
      <w:r>
        <w:lastRenderedPageBreak/>
        <w:t xml:space="preserve">Seznam </w:t>
      </w:r>
      <w:r w:rsidRPr="002E3C15">
        <w:t xml:space="preserve">významných </w:t>
      </w:r>
      <w:r w:rsidR="00EB2811">
        <w:t>dodávek</w:t>
      </w:r>
    </w:p>
    <w:p w14:paraId="5702D47A" w14:textId="77777777" w:rsidR="00D23F1F" w:rsidRPr="00D23F1F" w:rsidRDefault="00D23F1F" w:rsidP="00D23F1F">
      <w:pPr>
        <w:pStyle w:val="Nadpis3"/>
      </w:pPr>
      <w:r w:rsidRPr="00D23F1F">
        <w:t>Požadované kritérium</w:t>
      </w:r>
    </w:p>
    <w:p w14:paraId="229E3A04" w14:textId="46CB158B" w:rsidR="00D23F1F" w:rsidRPr="00D23F1F" w:rsidRDefault="00B81E23" w:rsidP="00D23F1F">
      <w:r>
        <w:t xml:space="preserve">Zadavatel </w:t>
      </w:r>
      <w:r w:rsidR="000741B2">
        <w:t xml:space="preserve">za účelem prokázání technické kvalifikace </w:t>
      </w:r>
      <w:r>
        <w:t>p</w:t>
      </w:r>
      <w:r w:rsidR="00655C0C">
        <w:t>ožaduje s</w:t>
      </w:r>
      <w:r w:rsidR="00D23F1F" w:rsidRPr="00D23F1F">
        <w:t>eznam významných</w:t>
      </w:r>
      <w:r w:rsidR="002E3C15">
        <w:t xml:space="preserve"> </w:t>
      </w:r>
      <w:r w:rsidR="00EB2811">
        <w:t>dodávek</w:t>
      </w:r>
      <w:r w:rsidR="00D23F1F" w:rsidRPr="00D23F1F">
        <w:t xml:space="preserve"> poskytnutých za poslední</w:t>
      </w:r>
      <w:r w:rsidR="00D157D3">
        <w:t>ch</w:t>
      </w:r>
      <w:r w:rsidR="00D23F1F" w:rsidRPr="00D23F1F">
        <w:t xml:space="preserve"> </w:t>
      </w:r>
      <w:r w:rsidR="00D157D3">
        <w:t>pět</w:t>
      </w:r>
      <w:r w:rsidR="00105805">
        <w:t xml:space="preserve"> (</w:t>
      </w:r>
      <w:r w:rsidR="00D157D3">
        <w:t>5</w:t>
      </w:r>
      <w:r w:rsidR="00105805">
        <w:t>)</w:t>
      </w:r>
      <w:r w:rsidR="00D23F1F" w:rsidRPr="002E3C15">
        <w:t xml:space="preserve"> </w:t>
      </w:r>
      <w:r w:rsidR="00D157D3">
        <w:t>let</w:t>
      </w:r>
      <w:r w:rsidR="00D23F1F" w:rsidRPr="00D23F1F">
        <w:t xml:space="preserve"> před zahájením zadávacího řízení.</w:t>
      </w:r>
    </w:p>
    <w:p w14:paraId="2B24824C" w14:textId="77777777" w:rsidR="00D23F1F" w:rsidRPr="00D23F1F" w:rsidRDefault="00D23F1F" w:rsidP="00D23F1F">
      <w:pPr>
        <w:pStyle w:val="Nadpis3"/>
      </w:pPr>
      <w:bookmarkStart w:id="1" w:name="_Ref503726191"/>
      <w:r w:rsidRPr="00D23F1F">
        <w:t>Minimální úroveň pro splnění kvalifikace</w:t>
      </w:r>
      <w:bookmarkEnd w:id="1"/>
    </w:p>
    <w:p w14:paraId="5ADE0822" w14:textId="0A21E471" w:rsidR="00EB2811" w:rsidRDefault="00D23F1F" w:rsidP="009E0083">
      <w:r w:rsidRPr="00D23F1F">
        <w:t>Dodavatel musí doložit</w:t>
      </w:r>
      <w:r w:rsidR="00EB2811">
        <w:t>,</w:t>
      </w:r>
      <w:r w:rsidR="0048671C">
        <w:t> že v časovém období uvedeném v čl. 5.1.1 této přílohy dodal</w:t>
      </w:r>
      <w:commentRangeStart w:id="2"/>
      <w:commentRangeEnd w:id="2"/>
      <w:r w:rsidR="0065779A">
        <w:t xml:space="preserve"> </w:t>
      </w:r>
      <w:r w:rsidR="001C193A">
        <w:t xml:space="preserve">jednomu objednateli </w:t>
      </w:r>
      <w:r w:rsidR="0048671C">
        <w:t xml:space="preserve">alespoň </w:t>
      </w:r>
      <w:r w:rsidR="001C193A">
        <w:t>15</w:t>
      </w:r>
      <w:r w:rsidR="0048671C" w:rsidRPr="00C50406">
        <w:t xml:space="preserve"> kusů</w:t>
      </w:r>
      <w:r w:rsidR="00EB2811">
        <w:t xml:space="preserve"> </w:t>
      </w:r>
      <w:r w:rsidR="00D157D3">
        <w:t>nízkoenergetických informačních panelů (</w:t>
      </w:r>
      <w:r w:rsidR="0048671C">
        <w:t xml:space="preserve">osazených </w:t>
      </w:r>
      <w:r w:rsidR="00D157D3">
        <w:t>technologi</w:t>
      </w:r>
      <w:r w:rsidR="0048671C">
        <w:t>í</w:t>
      </w:r>
      <w:r w:rsidR="00D157D3">
        <w:t xml:space="preserve"> e-</w:t>
      </w:r>
      <w:proofErr w:type="spellStart"/>
      <w:r w:rsidR="00D157D3">
        <w:t>paper</w:t>
      </w:r>
      <w:proofErr w:type="spellEnd"/>
      <w:r w:rsidR="00E647A5">
        <w:t xml:space="preserve">, </w:t>
      </w:r>
      <w:proofErr w:type="spellStart"/>
      <w:r w:rsidR="00D157D3">
        <w:t>ChLCD</w:t>
      </w:r>
      <w:proofErr w:type="spellEnd"/>
      <w:r w:rsidR="00463232">
        <w:t xml:space="preserve"> nebo podobn</w:t>
      </w:r>
      <w:r w:rsidR="0048671C">
        <w:t>ou</w:t>
      </w:r>
      <w:r w:rsidR="009E0083">
        <w:t>)</w:t>
      </w:r>
      <w:r w:rsidR="00EB2811" w:rsidRPr="001C3659">
        <w:t xml:space="preserve"> </w:t>
      </w:r>
      <w:r w:rsidR="0048671C">
        <w:t>v celkové</w:t>
      </w:r>
      <w:r w:rsidR="009E0083">
        <w:t xml:space="preserve"> </w:t>
      </w:r>
      <w:r w:rsidR="00863906" w:rsidRPr="00863906">
        <w:t>cen</w:t>
      </w:r>
      <w:r w:rsidR="0048671C">
        <w:t>ě</w:t>
      </w:r>
      <w:r w:rsidR="00863906" w:rsidRPr="00863906">
        <w:t xml:space="preserve"> </w:t>
      </w:r>
      <w:r w:rsidR="0048671C" w:rsidRPr="00C50406">
        <w:t>alespoň</w:t>
      </w:r>
      <w:r w:rsidR="00863906" w:rsidRPr="00C50406">
        <w:t xml:space="preserve"> </w:t>
      </w:r>
      <w:r w:rsidR="001C193A">
        <w:t>75</w:t>
      </w:r>
      <w:r w:rsidR="00E647A5" w:rsidRPr="00C50406">
        <w:t>0 000</w:t>
      </w:r>
      <w:r w:rsidR="00863906" w:rsidRPr="00863906">
        <w:t xml:space="preserve"> Kč bez DPH</w:t>
      </w:r>
      <w:r w:rsidR="009E0083">
        <w:t>.</w:t>
      </w:r>
    </w:p>
    <w:p w14:paraId="7E0BD88C" w14:textId="77777777" w:rsidR="00D23F1F" w:rsidRPr="00D23F1F" w:rsidRDefault="00D23F1F" w:rsidP="00D23F1F">
      <w:pPr>
        <w:pStyle w:val="Nadpis3"/>
      </w:pPr>
      <w:r w:rsidRPr="00D23F1F">
        <w:t>Způsob prokázání splnění daného kritéria</w:t>
      </w:r>
    </w:p>
    <w:p w14:paraId="33EB5322" w14:textId="4F3AE4A9" w:rsidR="000741B2" w:rsidRPr="009C0C30" w:rsidRDefault="00D23F1F" w:rsidP="00D23F1F">
      <w:r w:rsidRPr="009C0C30">
        <w:t xml:space="preserve">Dodavatel předloží </w:t>
      </w:r>
      <w:r w:rsidR="00197D8D" w:rsidRPr="009C0C30">
        <w:t xml:space="preserve">seznam </w:t>
      </w:r>
      <w:r w:rsidR="009C0C30">
        <w:t xml:space="preserve">významných </w:t>
      </w:r>
      <w:r w:rsidR="009C0C30">
        <w:t>dodávek</w:t>
      </w:r>
      <w:r w:rsidR="000741B2" w:rsidRPr="009C0C30">
        <w:t xml:space="preserve">, ze kterého musí vyplývat: </w:t>
      </w:r>
    </w:p>
    <w:p w14:paraId="537FFC28" w14:textId="3DFB6C90" w:rsidR="000741B2" w:rsidRPr="009C0C30" w:rsidRDefault="009C0C30" w:rsidP="000741B2">
      <w:pPr>
        <w:pStyle w:val="Odstavecseseznamem"/>
        <w:numPr>
          <w:ilvl w:val="0"/>
          <w:numId w:val="23"/>
        </w:numPr>
      </w:pPr>
      <w:r>
        <w:t>i</w:t>
      </w:r>
      <w:r w:rsidR="000741B2" w:rsidRPr="009C0C30">
        <w:t>dentifikace objednatele, pro kterého byly dodávky poskytovány</w:t>
      </w:r>
      <w:r w:rsidR="00D74830">
        <w:t>, včetně uvedení kontaktní osoby objednatele, u níž je možno referenci ověřit (jméno a telefonický nebo e-mailový kontakt)</w:t>
      </w:r>
      <w:r w:rsidR="000741B2" w:rsidRPr="009C0C30">
        <w:t>;</w:t>
      </w:r>
    </w:p>
    <w:p w14:paraId="36C6C172" w14:textId="3BA6C8E0" w:rsidR="000741B2" w:rsidRPr="009C0C30" w:rsidRDefault="00D74830" w:rsidP="000741B2">
      <w:pPr>
        <w:pStyle w:val="Odstavecseseznamem"/>
        <w:numPr>
          <w:ilvl w:val="0"/>
          <w:numId w:val="23"/>
        </w:numPr>
      </w:pPr>
      <w:r>
        <w:t xml:space="preserve">podrobná </w:t>
      </w:r>
      <w:r w:rsidR="009C0C30">
        <w:t>s</w:t>
      </w:r>
      <w:r w:rsidR="000741B2" w:rsidRPr="009C0C30">
        <w:t>pecifikace předmětu plnění;</w:t>
      </w:r>
    </w:p>
    <w:p w14:paraId="55327CD9" w14:textId="36D6B60E" w:rsidR="000741B2" w:rsidRPr="009C0C30" w:rsidRDefault="009C0C30" w:rsidP="000741B2">
      <w:pPr>
        <w:pStyle w:val="Odstavecseseznamem"/>
        <w:numPr>
          <w:ilvl w:val="0"/>
          <w:numId w:val="23"/>
        </w:numPr>
      </w:pPr>
      <w:r>
        <w:t>d</w:t>
      </w:r>
      <w:r w:rsidR="000741B2" w:rsidRPr="009C0C30">
        <w:t>oba poskytnutí dodávky;</w:t>
      </w:r>
    </w:p>
    <w:p w14:paraId="1B9F1ED2" w14:textId="4690E7FE" w:rsidR="000741B2" w:rsidRPr="009C0C30" w:rsidRDefault="009C0C30" w:rsidP="000741B2">
      <w:pPr>
        <w:pStyle w:val="Odstavecseseznamem"/>
        <w:numPr>
          <w:ilvl w:val="0"/>
          <w:numId w:val="23"/>
        </w:numPr>
      </w:pPr>
      <w:r>
        <w:t>p</w:t>
      </w:r>
      <w:r w:rsidR="000741B2" w:rsidRPr="009C0C30">
        <w:t>očet kusů dod</w:t>
      </w:r>
      <w:r>
        <w:t>aných nízkoenergetických informačních panelů</w:t>
      </w:r>
      <w:r w:rsidR="000741B2" w:rsidRPr="009C0C30">
        <w:t>;</w:t>
      </w:r>
    </w:p>
    <w:p w14:paraId="174BE34E" w14:textId="74F20D7A" w:rsidR="000741B2" w:rsidRPr="009C0C30" w:rsidRDefault="009C0C30" w:rsidP="000741B2">
      <w:pPr>
        <w:pStyle w:val="Odstavecseseznamem"/>
        <w:numPr>
          <w:ilvl w:val="0"/>
          <w:numId w:val="23"/>
        </w:numPr>
      </w:pPr>
      <w:r>
        <w:t>c</w:t>
      </w:r>
      <w:r w:rsidR="008A0B46">
        <w:t>ena dodávky bez DPH.</w:t>
      </w:r>
    </w:p>
    <w:p w14:paraId="20775928" w14:textId="5C5DDA16" w:rsidR="001E7F9B" w:rsidRDefault="001E7F9B" w:rsidP="001E7F9B">
      <w:pPr>
        <w:pStyle w:val="Nadpis2"/>
        <w:keepLines w:val="0"/>
        <w:suppressAutoHyphens/>
        <w:spacing w:before="180" w:after="60"/>
        <w:ind w:left="567" w:hanging="567"/>
        <w:jc w:val="left"/>
      </w:pPr>
      <w:r w:rsidRPr="001E7F9B">
        <w:t>Funkční vzorek</w:t>
      </w:r>
    </w:p>
    <w:p w14:paraId="2E1AE501" w14:textId="77777777" w:rsidR="008A0B46" w:rsidRDefault="008A0B46" w:rsidP="008A0B46">
      <w:pPr>
        <w:pStyle w:val="Nadpis3"/>
        <w:numPr>
          <w:ilvl w:val="2"/>
          <w:numId w:val="27"/>
        </w:numPr>
      </w:pPr>
      <w:r>
        <w:t>Požadované kritérium</w:t>
      </w:r>
    </w:p>
    <w:p w14:paraId="58D01CAC" w14:textId="080E346A" w:rsidR="008A0B46" w:rsidRDefault="008A0B46" w:rsidP="008A0B46">
      <w:pPr>
        <w:rPr>
          <w:lang w:bidi="cs-CZ"/>
        </w:rPr>
      </w:pPr>
      <w:r>
        <w:t>Po</w:t>
      </w:r>
      <w:r w:rsidR="00227009">
        <w:t xml:space="preserve">dle </w:t>
      </w:r>
      <w:r w:rsidR="0065779A">
        <w:t xml:space="preserve">ust. </w:t>
      </w:r>
      <w:r w:rsidR="00227009">
        <w:t>§ 79 odst. 2 písm. k) ZZVZ se po</w:t>
      </w:r>
      <w:r>
        <w:t>žaduje předložení</w:t>
      </w:r>
      <w:r>
        <w:rPr>
          <w:lang w:bidi="cs-CZ"/>
        </w:rPr>
        <w:t xml:space="preserve"> funkčního vzorku ZIS (dále jen „</w:t>
      </w:r>
      <w:r>
        <w:rPr>
          <w:b/>
          <w:lang w:bidi="cs-CZ"/>
        </w:rPr>
        <w:t>Funkční vzorek</w:t>
      </w:r>
      <w:r>
        <w:rPr>
          <w:lang w:bidi="cs-CZ"/>
        </w:rPr>
        <w:t xml:space="preserve">“), který bude splňovat </w:t>
      </w:r>
      <w:r w:rsidR="00943A36">
        <w:rPr>
          <w:lang w:bidi="cs-CZ"/>
        </w:rPr>
        <w:t>níže uvedené p</w:t>
      </w:r>
      <w:r w:rsidR="0017341F">
        <w:rPr>
          <w:lang w:bidi="cs-CZ"/>
        </w:rPr>
        <w:t>arametry</w:t>
      </w:r>
      <w:r>
        <w:rPr>
          <w:lang w:bidi="cs-CZ"/>
        </w:rPr>
        <w:t>.</w:t>
      </w:r>
    </w:p>
    <w:p w14:paraId="42E8CCFF" w14:textId="17659D80" w:rsidR="008A0B46" w:rsidRDefault="008A0B46" w:rsidP="008A0B46">
      <w:pPr>
        <w:rPr>
          <w:lang w:bidi="cs-CZ"/>
        </w:rPr>
      </w:pPr>
      <w:r>
        <w:rPr>
          <w:lang w:bidi="cs-CZ"/>
        </w:rPr>
        <w:t xml:space="preserve">Požadavek na předložení Funkčního vzorku a jeho následné posuzování je dáno potřebou zadavatele na ověření funkcí a kvality nabízených ZIS, které budou vybraným dodavatelem dodávány. Předložením Funkčního vzorku chce zadavatel ověřit schopnost dodavatele dodat funkční ZIS a eliminovat tak případy, kdy by se následně ukázalo, že vybraný dodavatel nebude schopen požadované zařízení </w:t>
      </w:r>
      <w:r w:rsidR="0065779A">
        <w:rPr>
          <w:lang w:bidi="cs-CZ"/>
        </w:rPr>
        <w:t>vyrobit</w:t>
      </w:r>
      <w:r>
        <w:rPr>
          <w:lang w:bidi="cs-CZ"/>
        </w:rPr>
        <w:t>/dodat.</w:t>
      </w:r>
    </w:p>
    <w:p w14:paraId="16750838" w14:textId="59F6D05A" w:rsidR="001D60C3" w:rsidRDefault="001D60C3" w:rsidP="008A0B46">
      <w:pPr>
        <w:rPr>
          <w:lang w:bidi="cs-CZ"/>
        </w:rPr>
      </w:pPr>
      <w:r>
        <w:rPr>
          <w:lang w:bidi="cs-CZ"/>
        </w:rPr>
        <w:t>Smyslem předložení Funkčního vzorku je předvedení systému v celém jeho rozsahu, tj.</w:t>
      </w:r>
      <w:r w:rsidR="0065779A">
        <w:rPr>
          <w:lang w:bidi="cs-CZ"/>
        </w:rPr>
        <w:t> </w:t>
      </w:r>
      <w:r>
        <w:rPr>
          <w:lang w:bidi="cs-CZ"/>
        </w:rPr>
        <w:t xml:space="preserve">prokazatelná demonstrace jednotlivých klíčových funkcionalit technologických částí </w:t>
      </w:r>
      <w:r>
        <w:rPr>
          <w:lang w:bidi="cs-CZ"/>
        </w:rPr>
        <w:br/>
        <w:t>a prokázání vzájemné komunikace tak, aby dodavatel prokázal, že disponuje technologiemi a</w:t>
      </w:r>
      <w:r w:rsidR="0065779A">
        <w:rPr>
          <w:lang w:bidi="cs-CZ"/>
        </w:rPr>
        <w:t> </w:t>
      </w:r>
      <w:r>
        <w:rPr>
          <w:lang w:bidi="cs-CZ"/>
        </w:rPr>
        <w:t>řešeními nezbytnými pro realizaci předmětu dodávky v požadovaném časovém období a</w:t>
      </w:r>
      <w:r w:rsidR="00D076C8">
        <w:rPr>
          <w:lang w:bidi="cs-CZ"/>
        </w:rPr>
        <w:t> </w:t>
      </w:r>
      <w:r>
        <w:rPr>
          <w:lang w:bidi="cs-CZ"/>
        </w:rPr>
        <w:t xml:space="preserve">kvalitě. Nepředložení Funkčního vzorku </w:t>
      </w:r>
      <w:r w:rsidR="00265B6B">
        <w:rPr>
          <w:lang w:bidi="cs-CZ"/>
        </w:rPr>
        <w:t xml:space="preserve">anebo nevyhovění předloženého Funkčního vzorku níže specifikovaným testovacím scénářům </w:t>
      </w:r>
      <w:r>
        <w:rPr>
          <w:lang w:bidi="cs-CZ"/>
        </w:rPr>
        <w:t>se považuje za neprokázání splnění kvalifikace.</w:t>
      </w:r>
    </w:p>
    <w:p w14:paraId="780D3CA8" w14:textId="77777777" w:rsidR="008A0B46" w:rsidRDefault="008A0B46" w:rsidP="008A0B46">
      <w:pPr>
        <w:pStyle w:val="Nadpis3"/>
        <w:numPr>
          <w:ilvl w:val="2"/>
          <w:numId w:val="27"/>
        </w:numPr>
      </w:pPr>
      <w:r>
        <w:t>Minimální úroveň pro splnění kvalifikace</w:t>
      </w:r>
    </w:p>
    <w:p w14:paraId="2EDCFA0F" w14:textId="3651C791" w:rsidR="008A0B46" w:rsidRDefault="008A0B46" w:rsidP="008A0B46">
      <w:r>
        <w:t>Dodavatel musí v rámci své nabídky předložit Funkční vzorek, který bude splňovat požadované parametry</w:t>
      </w:r>
      <w:r w:rsidR="004D3284">
        <w:t>, bude odpovídat dodavatelem nabízenému plnění</w:t>
      </w:r>
      <w:r>
        <w:t xml:space="preserve"> a kterým </w:t>
      </w:r>
      <w:r w:rsidR="004D3284">
        <w:t xml:space="preserve">dodavatel </w:t>
      </w:r>
      <w:r>
        <w:t>prokáže, že je technicky schopen dodat zboží, které je předmětem rámcové dohody zadávané v tomto zadávacím řízení.</w:t>
      </w:r>
    </w:p>
    <w:p w14:paraId="58317F81" w14:textId="46440813" w:rsidR="001D60C3" w:rsidRDefault="001D60C3" w:rsidP="001D60C3">
      <w:r>
        <w:lastRenderedPageBreak/>
        <w:t xml:space="preserve">Funkční vzorek bude obsahovat </w:t>
      </w:r>
      <w:r w:rsidR="00DC5B67">
        <w:t xml:space="preserve">alespoň </w:t>
      </w:r>
      <w:r>
        <w:t>tyto komponenty:</w:t>
      </w:r>
    </w:p>
    <w:p w14:paraId="75B40348" w14:textId="2F48D778" w:rsidR="001D60C3" w:rsidRDefault="001D60C3" w:rsidP="001D60C3">
      <w:pPr>
        <w:pStyle w:val="Odstavecseseznamem"/>
        <w:numPr>
          <w:ilvl w:val="0"/>
          <w:numId w:val="28"/>
        </w:numPr>
        <w:spacing w:after="200"/>
        <w:ind w:left="714" w:hanging="357"/>
        <w:jc w:val="both"/>
      </w:pPr>
      <w:r>
        <w:t>nízkoenergetický zastávkový informační panel stejného typu jako panel, který bude předmětem dodávky dodavatele v rámci Projektu;</w:t>
      </w:r>
    </w:p>
    <w:p w14:paraId="00CDA085" w14:textId="0FCE377E" w:rsidR="001D60C3" w:rsidRDefault="001D60C3" w:rsidP="001D60C3">
      <w:pPr>
        <w:pStyle w:val="Odstavecseseznamem"/>
        <w:numPr>
          <w:ilvl w:val="0"/>
          <w:numId w:val="28"/>
        </w:numPr>
        <w:spacing w:after="200"/>
        <w:ind w:left="714" w:hanging="357"/>
        <w:jc w:val="both"/>
      </w:pPr>
      <w:r>
        <w:t>digitální hlásič stejného typu, jako hlásič, který bude předmětem dodávky dodavatele v rámci Projektu;</w:t>
      </w:r>
    </w:p>
    <w:p w14:paraId="5756828D" w14:textId="3134E797" w:rsidR="001D60C3" w:rsidRDefault="001D60C3" w:rsidP="001D60C3">
      <w:pPr>
        <w:pStyle w:val="Odstavecseseznamem"/>
        <w:numPr>
          <w:ilvl w:val="0"/>
          <w:numId w:val="28"/>
        </w:numPr>
        <w:spacing w:after="200"/>
        <w:ind w:left="714" w:hanging="357"/>
        <w:jc w:val="both"/>
      </w:pPr>
      <w:r>
        <w:t>externí reproduktor pro přehrání hlášení digitálního hlásiče;</w:t>
      </w:r>
    </w:p>
    <w:p w14:paraId="6857D16B" w14:textId="49FDB4EC" w:rsidR="001D60C3" w:rsidRDefault="001D60C3" w:rsidP="001D60C3">
      <w:pPr>
        <w:pStyle w:val="Odstavecseseznamem"/>
        <w:numPr>
          <w:ilvl w:val="0"/>
          <w:numId w:val="28"/>
        </w:numPr>
        <w:spacing w:after="200"/>
        <w:ind w:left="714" w:hanging="357"/>
        <w:jc w:val="both"/>
      </w:pPr>
      <w:r>
        <w:t>vysílač povelů nevidomých;</w:t>
      </w:r>
    </w:p>
    <w:p w14:paraId="0344E3CC" w14:textId="2BC37C06" w:rsidR="001D60C3" w:rsidRDefault="001D60C3" w:rsidP="001D60C3">
      <w:pPr>
        <w:pStyle w:val="Odstavecseseznamem"/>
        <w:numPr>
          <w:ilvl w:val="0"/>
          <w:numId w:val="28"/>
        </w:numPr>
        <w:spacing w:after="200"/>
        <w:ind w:left="714" w:hanging="357"/>
        <w:jc w:val="both"/>
      </w:pPr>
      <w:r>
        <w:t>GSM modem;</w:t>
      </w:r>
    </w:p>
    <w:p w14:paraId="0579CDE5" w14:textId="169F12C1" w:rsidR="00F34B38" w:rsidRDefault="00F34B38" w:rsidP="001D60C3">
      <w:pPr>
        <w:pStyle w:val="Odstavecseseznamem"/>
        <w:numPr>
          <w:ilvl w:val="0"/>
          <w:numId w:val="28"/>
        </w:numPr>
        <w:spacing w:after="200"/>
        <w:ind w:left="714" w:hanging="357"/>
        <w:jc w:val="both"/>
      </w:pPr>
      <w:r>
        <w:t>SIM</w:t>
      </w:r>
      <w:r w:rsidR="00797392">
        <w:t xml:space="preserve"> karta;</w:t>
      </w:r>
    </w:p>
    <w:p w14:paraId="2B4F7206" w14:textId="6CA3EB67" w:rsidR="00246E71" w:rsidRDefault="001D60C3" w:rsidP="001D60C3">
      <w:pPr>
        <w:pStyle w:val="Odstavecseseznamem"/>
        <w:numPr>
          <w:ilvl w:val="0"/>
          <w:numId w:val="28"/>
        </w:numPr>
        <w:spacing w:after="200"/>
        <w:ind w:left="714" w:hanging="357"/>
        <w:jc w:val="both"/>
      </w:pPr>
      <w:r>
        <w:t xml:space="preserve">napájecí zdroj, který zajistí napájení všech komponent </w:t>
      </w:r>
      <w:r w:rsidR="00D076C8">
        <w:t>F</w:t>
      </w:r>
      <w:r>
        <w:t xml:space="preserve">unkčního vzorku po celou dobu </w:t>
      </w:r>
      <w:r w:rsidR="00797392">
        <w:t xml:space="preserve">testování </w:t>
      </w:r>
      <w:r>
        <w:t xml:space="preserve">tohoto </w:t>
      </w:r>
      <w:r w:rsidR="00EF4C7B">
        <w:t>F</w:t>
      </w:r>
      <w:r>
        <w:t>unkčního vzorku</w:t>
      </w:r>
      <w:r w:rsidR="00405FA0">
        <w:t>;</w:t>
      </w:r>
      <w:r w:rsidR="00FF5692">
        <w:t xml:space="preserve"> </w:t>
      </w:r>
      <w:r w:rsidR="00405FA0">
        <w:t>n</w:t>
      </w:r>
      <w:r w:rsidR="00FF5692">
        <w:t>apájení 230 V AC bude poskytnuto zadavatelem</w:t>
      </w:r>
      <w:r w:rsidR="00246E71">
        <w:t>;</w:t>
      </w:r>
    </w:p>
    <w:p w14:paraId="14864F33" w14:textId="3182AF11" w:rsidR="001D60C3" w:rsidRDefault="000C08D9" w:rsidP="00D076C8">
      <w:pPr>
        <w:pStyle w:val="Odstavecseseznamem"/>
        <w:numPr>
          <w:ilvl w:val="0"/>
          <w:numId w:val="28"/>
        </w:numPr>
        <w:spacing w:after="200"/>
        <w:ind w:left="714" w:hanging="357"/>
        <w:jc w:val="both"/>
      </w:pPr>
      <w:r>
        <w:t xml:space="preserve">případnou </w:t>
      </w:r>
      <w:r w:rsidR="00246E71">
        <w:t xml:space="preserve">kabeláž a </w:t>
      </w:r>
      <w:r>
        <w:t xml:space="preserve">případný </w:t>
      </w:r>
      <w:r w:rsidR="00246E71">
        <w:t>spojovací</w:t>
      </w:r>
      <w:r>
        <w:t xml:space="preserve">, </w:t>
      </w:r>
      <w:r w:rsidR="00246E71">
        <w:t xml:space="preserve">instalační </w:t>
      </w:r>
      <w:r>
        <w:t xml:space="preserve">či další </w:t>
      </w:r>
      <w:r w:rsidR="00246E71">
        <w:t xml:space="preserve">materiál potřebný k propojení </w:t>
      </w:r>
      <w:r>
        <w:t xml:space="preserve">nebo zprovoznění </w:t>
      </w:r>
      <w:r w:rsidR="00246E71">
        <w:t>jednotlivých komponent Funkčního vzorku</w:t>
      </w:r>
      <w:commentRangeStart w:id="3"/>
      <w:commentRangeEnd w:id="3"/>
      <w:r w:rsidR="00FF5692">
        <w:t>.</w:t>
      </w:r>
    </w:p>
    <w:p w14:paraId="392C199C" w14:textId="77777777" w:rsidR="00FA4314" w:rsidRDefault="00FA4314" w:rsidP="001D60C3">
      <w:r>
        <w:t>Součástí Funkčního vzorku nemusí být backoffice.</w:t>
      </w:r>
    </w:p>
    <w:p w14:paraId="07910E61" w14:textId="13AF28B0" w:rsidR="001D60C3" w:rsidRDefault="001D60C3" w:rsidP="001D60C3">
      <w:r>
        <w:t>Funkční vzorek musí být složen z takových reprezentantů zařízení a komponent, včetně programového vybavení, aby jejich předvedením dodavatel prokázal splnění požadavků zadavatele na charakteristiky a hodnoty technických parametrů a provozní a užitné vlastnosti definované zadavatelem v zadávací dokumentaci.</w:t>
      </w:r>
      <w:r w:rsidR="00393D83">
        <w:t xml:space="preserve"> Zadavatel neočekává, že by jednotlivé komponenty již byly složeny do finálního zastávkového označníku/panelu připraveného k definitivní instalaci v terénu – plně postačí, bud</w:t>
      </w:r>
      <w:r w:rsidR="0011638E">
        <w:t>ou-li jednotlivé komponenty (po jejich vyjmutí z obalu, ve kterém byl Funkční vzorek zadavateli odevzdán) pro účely provedení níže specifikovaných testovacích scénářů navzájem propojeny a volně umístěny např. na stůl nebo na podlahu místnosti, ve které bude testování probíhat.</w:t>
      </w:r>
    </w:p>
    <w:p w14:paraId="6E71E332" w14:textId="77777777" w:rsidR="008A0B46" w:rsidRDefault="008A0B46" w:rsidP="008A0B46">
      <w:pPr>
        <w:pStyle w:val="Nadpis3"/>
        <w:numPr>
          <w:ilvl w:val="2"/>
          <w:numId w:val="27"/>
        </w:numPr>
      </w:pPr>
      <w:r>
        <w:t>Způsob prokázání splnění daného kritéria</w:t>
      </w:r>
    </w:p>
    <w:p w14:paraId="1C0862BA" w14:textId="1D014B35" w:rsidR="00212F35" w:rsidRDefault="00212F35" w:rsidP="008A0B46">
      <w:pPr>
        <w:rPr>
          <w:lang w:bidi="cs-CZ"/>
        </w:rPr>
      </w:pPr>
      <w:r>
        <w:rPr>
          <w:lang w:bidi="cs-CZ"/>
        </w:rPr>
        <w:t>Způsob předložení Funkčního vzorku je popsán v bodě 10.5 hlavního dokumentu této zadávací dokumentace.</w:t>
      </w:r>
    </w:p>
    <w:p w14:paraId="14CB4F3A" w14:textId="0811875C" w:rsidR="0011638E" w:rsidRDefault="00212F35" w:rsidP="008A0B46">
      <w:r>
        <w:rPr>
          <w:lang w:bidi="cs-CZ"/>
        </w:rPr>
        <w:t xml:space="preserve">V rámci posuzování nabídek zadavatel </w:t>
      </w:r>
      <w:r w:rsidR="00AC2113">
        <w:rPr>
          <w:lang w:bidi="cs-CZ"/>
        </w:rPr>
        <w:t xml:space="preserve">následně </w:t>
      </w:r>
      <w:r>
        <w:rPr>
          <w:lang w:bidi="cs-CZ"/>
        </w:rPr>
        <w:t>ověří, zda předložený Funkční vzorek splňuje požadavky na něj kladené zadávacími podmínkami</w:t>
      </w:r>
      <w:r w:rsidR="008A0B46">
        <w:t>.</w:t>
      </w:r>
    </w:p>
    <w:p w14:paraId="2225D586" w14:textId="0628D2D8" w:rsidR="008A0B46" w:rsidRDefault="0011638E" w:rsidP="008A0B46">
      <w:r>
        <w:t>Testování Funkčního vzorku proběhne za přítomnost</w:t>
      </w:r>
      <w:r w:rsidR="00B56E85">
        <w:t>i</w:t>
      </w:r>
      <w:r>
        <w:t xml:space="preserve"> a aktivní součinnosti příslušného dodavatele na základě výzvy zadavatele </w:t>
      </w:r>
      <w:r w:rsidRPr="005B2D60">
        <w:t>zaslané alespoň 5 pracovních dnů předem</w:t>
      </w:r>
      <w:r>
        <w:t xml:space="preserve">. Testování Funkčního vzorku je neveřejné a mohou se jej účastnit pouze členové hodnotící komise, případně další zástupci zadavatele, a nejvýše </w:t>
      </w:r>
      <w:r w:rsidR="00A737DB" w:rsidRPr="00CB0322">
        <w:t>3</w:t>
      </w:r>
      <w:r w:rsidRPr="00CB0322">
        <w:t xml:space="preserve"> zástupc</w:t>
      </w:r>
      <w:r w:rsidR="00A737DB" w:rsidRPr="00CB0322">
        <w:t>i</w:t>
      </w:r>
      <w:r w:rsidR="005B2D60">
        <w:t xml:space="preserve"> </w:t>
      </w:r>
      <w:r>
        <w:t xml:space="preserve">příslušného dodavatele; každý z přítomných zástupců dodavatele je povinen před zahájením testování předložit </w:t>
      </w:r>
      <w:r w:rsidR="00B56E85">
        <w:t xml:space="preserve">k výzvě zadavatele nebo hodnotící komise </w:t>
      </w:r>
      <w:r>
        <w:t>platný průkaz totožnosti.</w:t>
      </w:r>
      <w:r w:rsidR="00A14B01">
        <w:t xml:space="preserve"> Zástupci dodavatele jsou povinni </w:t>
      </w:r>
      <w:r w:rsidR="00A14B01">
        <w:lastRenderedPageBreak/>
        <w:t>se dostavit nejméně 30 minut před oznámeným zahájením testování, aby mohly proběhnout potřebné formality (ověření přítomnosti oprávněných osob apod.).</w:t>
      </w:r>
      <w:r w:rsidR="005E02C0">
        <w:t xml:space="preserve"> </w:t>
      </w:r>
    </w:p>
    <w:p w14:paraId="459808E2" w14:textId="44CA4833" w:rsidR="00246E71" w:rsidRDefault="00246E71" w:rsidP="008A0B46">
      <w:r>
        <w:t>S Funkčním vzorkem budou při testování manipulovat pouze přítomní zástupci dodavatele</w:t>
      </w:r>
      <w:r w:rsidR="00694098">
        <w:t>, a</w:t>
      </w:r>
      <w:r w:rsidR="00607F84">
        <w:t> </w:t>
      </w:r>
      <w:r w:rsidR="00694098">
        <w:t xml:space="preserve">to včetně vybalení jednotlivých komponent z obalu, ve kterém byl Funkční vzorek zadavateli předložen, </w:t>
      </w:r>
      <w:r w:rsidR="00EA46C9">
        <w:t xml:space="preserve">sestavení či zprovoznění Funkčního vzorku pro provedení testovacích scénářů </w:t>
      </w:r>
      <w:r w:rsidR="00694098">
        <w:t xml:space="preserve">a </w:t>
      </w:r>
      <w:r w:rsidR="00EA46C9">
        <w:t>opětovné demontáže</w:t>
      </w:r>
      <w:r w:rsidR="00694098">
        <w:t xml:space="preserve"> </w:t>
      </w:r>
      <w:r w:rsidR="00EA46C9">
        <w:t xml:space="preserve">a </w:t>
      </w:r>
      <w:r w:rsidR="00694098">
        <w:t xml:space="preserve">zabalení </w:t>
      </w:r>
      <w:r w:rsidR="00EA46C9">
        <w:t xml:space="preserve">Funkčního vzorku či jeho komponent </w:t>
      </w:r>
      <w:r w:rsidR="00694098">
        <w:t>po skončení testovací procedury</w:t>
      </w:r>
      <w:r>
        <w:t>.</w:t>
      </w:r>
    </w:p>
    <w:p w14:paraId="159BAA57" w14:textId="0EBF6FE0" w:rsidR="00D0732F" w:rsidRDefault="00D0732F" w:rsidP="008A0B46">
      <w:r>
        <w:t xml:space="preserve">Testování Funkčního vzorku </w:t>
      </w:r>
      <w:r w:rsidR="00A14B01">
        <w:t xml:space="preserve">smí trvat nejvýše </w:t>
      </w:r>
      <w:r w:rsidR="00EA0BDF" w:rsidRPr="00CB0322">
        <w:t>18</w:t>
      </w:r>
      <w:r w:rsidR="00A14B01" w:rsidRPr="00CB0322">
        <w:t>0 minut</w:t>
      </w:r>
      <w:r w:rsidR="00A14B01">
        <w:t xml:space="preserve"> a </w:t>
      </w:r>
      <w:r>
        <w:t>je zahájeno</w:t>
      </w:r>
      <w:r w:rsidR="00286790">
        <w:t xml:space="preserve"> </w:t>
      </w:r>
      <w:r w:rsidR="00485B04">
        <w:t>okamžikem, který byl uveden ve výzvě zadavatele k účasti na testování Funkčního vzorku</w:t>
      </w:r>
      <w:r w:rsidR="00A14B01">
        <w:t>. Tímto okamžikem (nikoliv dříve) zpřístupní zadavatel přítomným zástupcům dodavatele Funkční vzorek v obalu tak, jak byl zadavateli předložen</w:t>
      </w:r>
      <w:r w:rsidR="00956EC9">
        <w:t xml:space="preserve"> při podání nabídky</w:t>
      </w:r>
      <w:r w:rsidR="00A14B01">
        <w:t xml:space="preserve">; přítomní zástupci dodavatele následně </w:t>
      </w:r>
      <w:bookmarkStart w:id="4" w:name="_GoBack"/>
      <w:r w:rsidR="00A14B01">
        <w:t>Funkční vzorek, resp. jeho jednotlivé komponenty vyjmou z obalu, sestaví,</w:t>
      </w:r>
      <w:r w:rsidR="00EA0BDF">
        <w:t xml:space="preserve"> zprovozní</w:t>
      </w:r>
      <w:r w:rsidR="00A14B01">
        <w:t xml:space="preserve"> a</w:t>
      </w:r>
      <w:r w:rsidR="003E5BF4">
        <w:t> </w:t>
      </w:r>
      <w:r w:rsidR="00A14B01">
        <w:t>připraví je k provedení testovacích scénářů.</w:t>
      </w:r>
      <w:bookmarkEnd w:id="4"/>
    </w:p>
    <w:p w14:paraId="5CDAF180" w14:textId="40C4A457" w:rsidR="00445087" w:rsidRDefault="00445087" w:rsidP="008A0B46">
      <w:r>
        <w:t>V průběhu testování Funkčního vzorku je dodavatel oprávněn na místě samém provádět na Funkčním vzorku softwarové i hardwarové úpravy</w:t>
      </w:r>
      <w:r w:rsidR="00FF701A">
        <w:t xml:space="preserve"> (</w:t>
      </w:r>
      <w:r w:rsidR="00FF701A" w:rsidRPr="00546962">
        <w:rPr>
          <w:b/>
        </w:rPr>
        <w:t xml:space="preserve">nikoliv však </w:t>
      </w:r>
      <w:r w:rsidR="006A0C16">
        <w:rPr>
          <w:b/>
        </w:rPr>
        <w:t xml:space="preserve">formou </w:t>
      </w:r>
      <w:r w:rsidR="00FF701A" w:rsidRPr="00546962">
        <w:rPr>
          <w:b/>
        </w:rPr>
        <w:t>doplnění chybějící komponenty</w:t>
      </w:r>
      <w:r w:rsidR="00FF701A">
        <w:t xml:space="preserve"> – Funkční vzorek odevzdaný v rámci nabídky musí být kompletní; v průběhu testování lze připustit např. výměnu určité komponenty v režimu „kus za kus“, ale nelze doplňovat chybějící komponenty</w:t>
      </w:r>
      <w:r w:rsidR="00AA2609">
        <w:t>, které nebyly předloženy již v rámci nabídky</w:t>
      </w:r>
      <w:r w:rsidR="00FF701A">
        <w:t>)</w:t>
      </w:r>
      <w:r>
        <w:t xml:space="preserve"> za účelem úspěšného splnění testovacích scénářů; veškeré tyto úpravy ale musí </w:t>
      </w:r>
      <w:r w:rsidR="00AA2609">
        <w:t xml:space="preserve">přítomný zástupce dodavatele </w:t>
      </w:r>
      <w:r w:rsidR="0069220F">
        <w:t xml:space="preserve">vždy srozumitelně popsat/vysvětlit tak, aby zadavatel mohl </w:t>
      </w:r>
      <w:r w:rsidR="008E4729">
        <w:t xml:space="preserve">jejich podstatu </w:t>
      </w:r>
      <w:r w:rsidR="0069220F">
        <w:t>zachytit do protokolu pořizovaného o probíhajícím testování.</w:t>
      </w:r>
      <w:r w:rsidR="008E4729">
        <w:t xml:space="preserve"> I po provedení jakékoliv takové úpravy ale musí Funkční vzorek i nadále odpovídat plnění, které dodavatel nabídl ve své nabídce</w:t>
      </w:r>
      <w:r w:rsidR="00DF36CF">
        <w:t xml:space="preserve"> (zejména pak Popisu nabízeného technického řešení, který tvoří přílohu č. 4 závazného vzoru Rámcové dohody)</w:t>
      </w:r>
      <w:r w:rsidR="008E4729">
        <w:t>.</w:t>
      </w:r>
      <w:r w:rsidR="00AE0A1C">
        <w:t xml:space="preserve"> Provedení hardwarové nebo softwarové úpravy Funkčního vzorku v rozporu s těmito pravidly může vést k vyloučení dodavatele ze zadávacího řízení.</w:t>
      </w:r>
    </w:p>
    <w:p w14:paraId="5602046F" w14:textId="3D7B10B1" w:rsidR="00032663" w:rsidRPr="00032663" w:rsidRDefault="00032663" w:rsidP="00032663">
      <w:pPr>
        <w:rPr>
          <w:lang w:bidi="cs-CZ"/>
        </w:rPr>
      </w:pPr>
      <w:r w:rsidRPr="00032663">
        <w:rPr>
          <w:lang w:bidi="cs-CZ"/>
        </w:rPr>
        <w:t xml:space="preserve">Předmětem </w:t>
      </w:r>
      <w:r w:rsidR="0011638E">
        <w:rPr>
          <w:lang w:bidi="cs-CZ"/>
        </w:rPr>
        <w:t>ověření</w:t>
      </w:r>
      <w:r w:rsidRPr="00032663">
        <w:rPr>
          <w:lang w:bidi="cs-CZ"/>
        </w:rPr>
        <w:t xml:space="preserve"> </w:t>
      </w:r>
      <w:r w:rsidR="0011638E">
        <w:rPr>
          <w:lang w:bidi="cs-CZ"/>
        </w:rPr>
        <w:t>požadavků kladených na F</w:t>
      </w:r>
      <w:r w:rsidRPr="00032663">
        <w:rPr>
          <w:lang w:bidi="cs-CZ"/>
        </w:rPr>
        <w:t>unkční vzor</w:t>
      </w:r>
      <w:r w:rsidR="0011638E">
        <w:rPr>
          <w:lang w:bidi="cs-CZ"/>
        </w:rPr>
        <w:t>e</w:t>
      </w:r>
      <w:r w:rsidRPr="00032663">
        <w:rPr>
          <w:lang w:bidi="cs-CZ"/>
        </w:rPr>
        <w:t>k jsou následující testovací scénáře:</w:t>
      </w:r>
    </w:p>
    <w:p w14:paraId="616244A5" w14:textId="77777777" w:rsidR="00CB0322" w:rsidRPr="00CB0322" w:rsidRDefault="00032663" w:rsidP="00CB0322">
      <w:pPr>
        <w:pStyle w:val="Odstavecseseznamem"/>
        <w:numPr>
          <w:ilvl w:val="0"/>
          <w:numId w:val="29"/>
        </w:numPr>
        <w:rPr>
          <w:rFonts w:eastAsiaTheme="minorHAnsi" w:cstheme="minorBidi"/>
          <w:szCs w:val="22"/>
          <w:lang w:eastAsia="en-US" w:bidi="cs-CZ"/>
        </w:rPr>
      </w:pPr>
      <w:r w:rsidRPr="00CB0322">
        <w:rPr>
          <w:b/>
          <w:lang w:bidi="cs-CZ"/>
        </w:rPr>
        <w:t>Scénář 1</w:t>
      </w:r>
      <w:r w:rsidR="0028434F" w:rsidRPr="00032663">
        <w:rPr>
          <w:lang w:bidi="cs-CZ"/>
        </w:rPr>
        <w:t xml:space="preserve"> – </w:t>
      </w:r>
      <w:r w:rsidR="00CB0322" w:rsidRPr="00CB0322">
        <w:rPr>
          <w:rFonts w:eastAsiaTheme="minorHAnsi" w:cstheme="minorBidi"/>
          <w:szCs w:val="22"/>
          <w:lang w:eastAsia="en-US" w:bidi="cs-CZ"/>
        </w:rPr>
        <w:t xml:space="preserve">Načtení a zobrazení aktuálních informací z dané zastávky/označníku. </w:t>
      </w:r>
    </w:p>
    <w:p w14:paraId="5018EFD0" w14:textId="45F54B55" w:rsidR="00FE588D" w:rsidRPr="00032663" w:rsidRDefault="00FE588D" w:rsidP="00FE588D">
      <w:pPr>
        <w:spacing w:before="240"/>
        <w:ind w:left="714"/>
        <w:rPr>
          <w:lang w:bidi="cs-CZ"/>
        </w:rPr>
      </w:pPr>
      <w:r w:rsidRPr="00C50406">
        <w:rPr>
          <w:lang w:bidi="cs-CZ"/>
        </w:rPr>
        <w:t xml:space="preserve">Funkční vzorek </w:t>
      </w:r>
      <w:r>
        <w:rPr>
          <w:lang w:bidi="cs-CZ"/>
        </w:rPr>
        <w:t xml:space="preserve">musí </w:t>
      </w:r>
      <w:r w:rsidRPr="00C50406">
        <w:rPr>
          <w:lang w:bidi="cs-CZ"/>
        </w:rPr>
        <w:t>zobrazit aktuální informace o nejbližších odjezdech spojů, a to dle požadavků v Technické specifikaci</w:t>
      </w:r>
      <w:r>
        <w:rPr>
          <w:lang w:bidi="cs-CZ"/>
        </w:rPr>
        <w:t>.</w:t>
      </w:r>
      <w:r w:rsidRPr="00C50406">
        <w:rPr>
          <w:lang w:bidi="cs-CZ"/>
        </w:rPr>
        <w:t xml:space="preserve"> </w:t>
      </w:r>
      <w:r>
        <w:rPr>
          <w:lang w:bidi="cs-CZ"/>
        </w:rPr>
        <w:t xml:space="preserve">Pro zobrazení těchto informací se použijí data </w:t>
      </w:r>
      <w:r w:rsidRPr="00C50406">
        <w:rPr>
          <w:lang w:bidi="cs-CZ"/>
        </w:rPr>
        <w:t>z</w:t>
      </w:r>
      <w:r>
        <w:rPr>
          <w:lang w:bidi="cs-CZ"/>
        </w:rPr>
        <w:t xml:space="preserve"> testovacího</w:t>
      </w:r>
      <w:r w:rsidRPr="00C50406">
        <w:rPr>
          <w:lang w:bidi="cs-CZ"/>
        </w:rPr>
        <w:t xml:space="preserve"> </w:t>
      </w:r>
      <w:r>
        <w:rPr>
          <w:lang w:bidi="cs-CZ"/>
        </w:rPr>
        <w:t>tabla</w:t>
      </w:r>
      <w:r w:rsidRPr="00084ADB">
        <w:rPr>
          <w:lang w:bidi="cs-CZ"/>
        </w:rPr>
        <w:t xml:space="preserve"> s číslem: 2000000020</w:t>
      </w:r>
      <w:r>
        <w:rPr>
          <w:lang w:bidi="cs-CZ"/>
        </w:rPr>
        <w:t xml:space="preserve">, které je specifikováno v kapitole 1 přílohy D této zadávací dokumentace. </w:t>
      </w:r>
      <w:r w:rsidRPr="00C50406">
        <w:rPr>
          <w:lang w:bidi="cs-CZ"/>
        </w:rPr>
        <w:t xml:space="preserve">Aktualizace zobrazených informací bude pro potřeby Funkčního vzorku a pro tento Scénář 1 nastavena na 30 sekund. Zobrazované informace na Funkčním vzorku budou validovány se zdrojovým </w:t>
      </w:r>
      <w:proofErr w:type="spellStart"/>
      <w:r w:rsidRPr="00C50406">
        <w:rPr>
          <w:lang w:bidi="cs-CZ"/>
        </w:rPr>
        <w:t>xml</w:t>
      </w:r>
      <w:proofErr w:type="spellEnd"/>
      <w:r w:rsidRPr="00C50406">
        <w:rPr>
          <w:lang w:bidi="cs-CZ"/>
        </w:rPr>
        <w:t xml:space="preserve"> z webové služby MPV, který je popsán v příloze </w:t>
      </w:r>
      <w:r>
        <w:rPr>
          <w:lang w:bidi="cs-CZ"/>
        </w:rPr>
        <w:t>D</w:t>
      </w:r>
      <w:r w:rsidRPr="00C50406">
        <w:rPr>
          <w:lang w:bidi="cs-CZ"/>
        </w:rPr>
        <w:t xml:space="preserve"> této zadávací dokumentace, případně s daty zpracovanými do uživatelsky přívětivé podoby na webové stránce https://pid.cz/zastavkova-tabla. V rámci hodnocení bude kontrolováno celkem 5 po sobě jdoucích aktualizací.</w:t>
      </w:r>
    </w:p>
    <w:p w14:paraId="5E10DDB1" w14:textId="77777777" w:rsidR="00032663" w:rsidRPr="00032663" w:rsidRDefault="00032663" w:rsidP="00F4272A">
      <w:pPr>
        <w:numPr>
          <w:ilvl w:val="0"/>
          <w:numId w:val="29"/>
        </w:numPr>
        <w:spacing w:before="240"/>
        <w:ind w:left="714" w:hanging="357"/>
        <w:rPr>
          <w:lang w:bidi="cs-CZ"/>
        </w:rPr>
      </w:pPr>
      <w:r w:rsidRPr="00032663">
        <w:rPr>
          <w:b/>
          <w:lang w:bidi="cs-CZ"/>
        </w:rPr>
        <w:t>Scénář 2</w:t>
      </w:r>
      <w:r w:rsidRPr="00032663">
        <w:rPr>
          <w:lang w:bidi="cs-CZ"/>
        </w:rPr>
        <w:t xml:space="preserve"> – Změna frekvence aktualizace zobrazovaných informací dané zastávky/označníku.</w:t>
      </w:r>
    </w:p>
    <w:p w14:paraId="4815B5A7" w14:textId="552706A7" w:rsidR="00032663" w:rsidRPr="00032663" w:rsidRDefault="00C50406" w:rsidP="00241093">
      <w:pPr>
        <w:ind w:left="360"/>
        <w:rPr>
          <w:lang w:bidi="cs-CZ"/>
        </w:rPr>
      </w:pPr>
      <w:r w:rsidRPr="00C50406">
        <w:rPr>
          <w:lang w:bidi="cs-CZ"/>
        </w:rPr>
        <w:lastRenderedPageBreak/>
        <w:t>Zadavatel definuje nový časový interval, po kterém se mají zobrazované informace aktualizovat. Dodavatel provede požadovanou změnu, která se musí v krátkém čase (nejpozději do 10 minut od nastavení tohoto požadavku do backoffice Funkčního vzorku) projevit na Funkčním vzorku.</w:t>
      </w:r>
    </w:p>
    <w:p w14:paraId="428101E1" w14:textId="77777777" w:rsidR="00032663" w:rsidRPr="00032663" w:rsidRDefault="00032663" w:rsidP="00F4272A">
      <w:pPr>
        <w:numPr>
          <w:ilvl w:val="0"/>
          <w:numId w:val="29"/>
        </w:numPr>
        <w:spacing w:before="240"/>
        <w:ind w:left="714" w:hanging="357"/>
        <w:rPr>
          <w:lang w:bidi="cs-CZ"/>
        </w:rPr>
      </w:pPr>
      <w:r w:rsidRPr="00032663">
        <w:rPr>
          <w:b/>
          <w:lang w:bidi="cs-CZ"/>
        </w:rPr>
        <w:t>Scénář 3</w:t>
      </w:r>
      <w:r w:rsidRPr="00032663">
        <w:rPr>
          <w:lang w:bidi="cs-CZ"/>
        </w:rPr>
        <w:t xml:space="preserve"> – Zobrazení informačního textu.</w:t>
      </w:r>
    </w:p>
    <w:p w14:paraId="6A31FB2A" w14:textId="74A6F9CE" w:rsidR="00032663" w:rsidRPr="00032663" w:rsidRDefault="00C50406" w:rsidP="00241093">
      <w:pPr>
        <w:ind w:left="360"/>
        <w:rPr>
          <w:lang w:bidi="cs-CZ"/>
        </w:rPr>
      </w:pPr>
      <w:r w:rsidRPr="00C50406">
        <w:rPr>
          <w:lang w:bidi="cs-CZ"/>
        </w:rPr>
        <w:t>Zadavatel zadáním textu: „</w:t>
      </w:r>
      <w:r w:rsidRPr="00C50406">
        <w:rPr>
          <w:b/>
          <w:u w:val="single"/>
          <w:lang w:bidi="cs-CZ"/>
        </w:rPr>
        <w:t>Testovací zpráva! Přejeme Vám příjemný den.</w:t>
      </w:r>
      <w:r w:rsidRPr="00C50406">
        <w:rPr>
          <w:lang w:bidi="cs-CZ"/>
        </w:rPr>
        <w:t>“ do systému MPV, bude testovat, zda se daná textová zpráva zobrazí v celém svém rozsahu, včetně diakritiky, na Funkčním vzorku. Dodavatel zajistí zobrazení tohoto informačního textu v</w:t>
      </w:r>
      <w:r w:rsidR="00D172EA">
        <w:rPr>
          <w:lang w:bidi="cs-CZ"/>
        </w:rPr>
        <w:t> </w:t>
      </w:r>
      <w:r w:rsidRPr="00C50406">
        <w:rPr>
          <w:lang w:bidi="cs-CZ"/>
        </w:rPr>
        <w:t>krátkém čase (nejpozději do 5 minut od nastavení tohoto požadavku zadavatelem do systému MPV).</w:t>
      </w:r>
    </w:p>
    <w:p w14:paraId="56CDA0B5" w14:textId="77777777" w:rsidR="00032663" w:rsidRPr="00032663" w:rsidRDefault="00032663" w:rsidP="00F4272A">
      <w:pPr>
        <w:pStyle w:val="Odstavecseseznamem"/>
        <w:numPr>
          <w:ilvl w:val="0"/>
          <w:numId w:val="29"/>
        </w:numPr>
        <w:spacing w:before="240" w:after="200"/>
        <w:ind w:left="714" w:hanging="357"/>
        <w:rPr>
          <w:lang w:bidi="cs-CZ"/>
        </w:rPr>
      </w:pPr>
      <w:r w:rsidRPr="00CD7954">
        <w:rPr>
          <w:b/>
          <w:lang w:bidi="cs-CZ"/>
        </w:rPr>
        <w:t>Scénář 4</w:t>
      </w:r>
      <w:r w:rsidRPr="00032663">
        <w:rPr>
          <w:lang w:bidi="cs-CZ"/>
        </w:rPr>
        <w:t xml:space="preserve"> – Přečtení aktuálních zobrazených informací včetně informačního textu po stisknutí patřičného tlačítka na vysílači nevidomých.</w:t>
      </w:r>
    </w:p>
    <w:p w14:paraId="15227DE9" w14:textId="1F801E72" w:rsidR="00D172EA" w:rsidRPr="00032663" w:rsidRDefault="00032663" w:rsidP="00241093">
      <w:pPr>
        <w:ind w:left="360"/>
        <w:rPr>
          <w:lang w:bidi="cs-CZ"/>
        </w:rPr>
      </w:pPr>
      <w:r w:rsidRPr="00032663">
        <w:rPr>
          <w:lang w:bidi="cs-CZ"/>
        </w:rPr>
        <w:t>Zadavatel bude kontrolovat srozumitelnost čtených informací a jejich úplnost. Vysílač nevidomých zajistí Zadavatel.</w:t>
      </w:r>
    </w:p>
    <w:p w14:paraId="2E0FE2FD" w14:textId="50CF9668" w:rsidR="00CD7954" w:rsidRDefault="00087440" w:rsidP="00CD7954">
      <w:pPr>
        <w:rPr>
          <w:lang w:bidi="cs-CZ"/>
        </w:rPr>
      </w:pPr>
      <w:r>
        <w:rPr>
          <w:lang w:bidi="cs-CZ"/>
        </w:rPr>
        <w:t xml:space="preserve">Pro přístup k rozhraní MPV pro potřeby </w:t>
      </w:r>
      <w:r w:rsidR="000849F1">
        <w:rPr>
          <w:lang w:bidi="cs-CZ"/>
        </w:rPr>
        <w:t>předvedení</w:t>
      </w:r>
      <w:r>
        <w:rPr>
          <w:lang w:bidi="cs-CZ"/>
        </w:rPr>
        <w:t xml:space="preserve"> </w:t>
      </w:r>
      <w:r w:rsidR="005E02C0">
        <w:rPr>
          <w:lang w:bidi="cs-CZ"/>
        </w:rPr>
        <w:t>F</w:t>
      </w:r>
      <w:r w:rsidR="000849F1">
        <w:rPr>
          <w:lang w:bidi="cs-CZ"/>
        </w:rPr>
        <w:t xml:space="preserve">unkčního vzorku nepotřebuje mít </w:t>
      </w:r>
      <w:r>
        <w:rPr>
          <w:lang w:bidi="cs-CZ"/>
        </w:rPr>
        <w:t xml:space="preserve">dodavatel přístup do VPN, může tedy </w:t>
      </w:r>
      <w:r w:rsidR="000849F1">
        <w:rPr>
          <w:lang w:bidi="cs-CZ"/>
        </w:rPr>
        <w:t>využít</w:t>
      </w:r>
      <w:r>
        <w:rPr>
          <w:lang w:bidi="cs-CZ"/>
        </w:rPr>
        <w:t xml:space="preserve"> libovoln</w:t>
      </w:r>
      <w:r w:rsidR="000849F1">
        <w:rPr>
          <w:lang w:bidi="cs-CZ"/>
        </w:rPr>
        <w:t>ou vlastní SIM kartu</w:t>
      </w:r>
      <w:r w:rsidR="00C83BE3">
        <w:rPr>
          <w:lang w:bidi="cs-CZ"/>
        </w:rPr>
        <w:t xml:space="preserve"> (musí být již součástí Funkčního vzorku odevzdávaného zadavateli jako součást nabídky)</w:t>
      </w:r>
      <w:r w:rsidR="000849F1">
        <w:rPr>
          <w:lang w:bidi="cs-CZ"/>
        </w:rPr>
        <w:t xml:space="preserve">. </w:t>
      </w:r>
      <w:r w:rsidR="00CD7954" w:rsidRPr="00032663">
        <w:rPr>
          <w:lang w:bidi="cs-CZ"/>
        </w:rPr>
        <w:t xml:space="preserve">Potřebné </w:t>
      </w:r>
      <w:r w:rsidR="002661AF">
        <w:rPr>
          <w:lang w:bidi="cs-CZ"/>
        </w:rPr>
        <w:t xml:space="preserve">další </w:t>
      </w:r>
      <w:r w:rsidR="00CD7954" w:rsidRPr="00032663">
        <w:rPr>
          <w:lang w:bidi="cs-CZ"/>
        </w:rPr>
        <w:t xml:space="preserve">technické vybavení </w:t>
      </w:r>
      <w:r w:rsidR="008D15E7">
        <w:rPr>
          <w:lang w:bidi="cs-CZ"/>
        </w:rPr>
        <w:t xml:space="preserve">pro předvedení Funkčního vzorku </w:t>
      </w:r>
      <w:r w:rsidR="00CD7954" w:rsidRPr="00032663">
        <w:rPr>
          <w:lang w:bidi="cs-CZ"/>
        </w:rPr>
        <w:t>(např. počítač, internetové připojení</w:t>
      </w:r>
      <w:r w:rsidR="002C6025">
        <w:rPr>
          <w:lang w:bidi="cs-CZ"/>
        </w:rPr>
        <w:t xml:space="preserve"> a</w:t>
      </w:r>
      <w:r w:rsidR="00D172EA">
        <w:rPr>
          <w:lang w:bidi="cs-CZ"/>
        </w:rPr>
        <w:t> </w:t>
      </w:r>
      <w:r w:rsidR="00CD7954" w:rsidRPr="00032663">
        <w:rPr>
          <w:lang w:bidi="cs-CZ"/>
        </w:rPr>
        <w:t>kabeláž</w:t>
      </w:r>
      <w:r w:rsidR="002C6025">
        <w:rPr>
          <w:lang w:bidi="cs-CZ"/>
        </w:rPr>
        <w:t xml:space="preserve"> pro </w:t>
      </w:r>
      <w:r w:rsidR="002661AF">
        <w:rPr>
          <w:lang w:bidi="cs-CZ"/>
        </w:rPr>
        <w:t xml:space="preserve">vytvoření </w:t>
      </w:r>
      <w:r w:rsidR="002C6025">
        <w:rPr>
          <w:lang w:bidi="cs-CZ"/>
        </w:rPr>
        <w:t xml:space="preserve">backoffice </w:t>
      </w:r>
      <w:r w:rsidR="003D238D">
        <w:rPr>
          <w:lang w:bidi="cs-CZ"/>
        </w:rPr>
        <w:t xml:space="preserve">pro </w:t>
      </w:r>
      <w:r w:rsidR="002C6025">
        <w:rPr>
          <w:lang w:bidi="cs-CZ"/>
        </w:rPr>
        <w:t>Funkční vzor</w:t>
      </w:r>
      <w:r w:rsidR="003D238D">
        <w:rPr>
          <w:lang w:bidi="cs-CZ"/>
        </w:rPr>
        <w:t>e</w:t>
      </w:r>
      <w:r w:rsidR="002C6025">
        <w:rPr>
          <w:lang w:bidi="cs-CZ"/>
        </w:rPr>
        <w:t>k</w:t>
      </w:r>
      <w:r w:rsidR="00CD7954" w:rsidRPr="00032663">
        <w:rPr>
          <w:lang w:bidi="cs-CZ"/>
        </w:rPr>
        <w:t>)</w:t>
      </w:r>
      <w:r w:rsidR="002C6025">
        <w:rPr>
          <w:lang w:bidi="cs-CZ"/>
        </w:rPr>
        <w:t>, s výjimkou vysílače nevidomých,</w:t>
      </w:r>
      <w:r w:rsidR="00CD7954" w:rsidRPr="00032663">
        <w:rPr>
          <w:lang w:bidi="cs-CZ"/>
        </w:rPr>
        <w:t xml:space="preserve"> si</w:t>
      </w:r>
      <w:r w:rsidR="00D172EA">
        <w:rPr>
          <w:lang w:bidi="cs-CZ"/>
        </w:rPr>
        <w:t> </w:t>
      </w:r>
      <w:r w:rsidR="00CD7954" w:rsidRPr="00032663">
        <w:rPr>
          <w:lang w:bidi="cs-CZ"/>
        </w:rPr>
        <w:t xml:space="preserve">zajistí </w:t>
      </w:r>
      <w:r w:rsidR="002C6025">
        <w:rPr>
          <w:lang w:bidi="cs-CZ"/>
        </w:rPr>
        <w:t>dodavatel</w:t>
      </w:r>
      <w:r w:rsidR="00CD7954" w:rsidRPr="00032663">
        <w:rPr>
          <w:lang w:bidi="cs-CZ"/>
        </w:rPr>
        <w:t xml:space="preserve"> vlastními silami na své vlastní náklady.</w:t>
      </w:r>
    </w:p>
    <w:p w14:paraId="3F1C5283" w14:textId="2404FFF5" w:rsidR="001B1665" w:rsidRDefault="007C2AF9" w:rsidP="00CD7954">
      <w:pPr>
        <w:rPr>
          <w:lang w:bidi="cs-CZ"/>
        </w:rPr>
      </w:pPr>
      <w:r>
        <w:rPr>
          <w:lang w:bidi="cs-CZ"/>
        </w:rPr>
        <w:t xml:space="preserve">Počet pokusů na splnění jednotlivých testovacích scénářů není omezen, dodavatel je vázán pouze shora uvedenou celkovou přípustnou dobou testování Funkčního vzorku v délce </w:t>
      </w:r>
      <w:r w:rsidR="003D238D" w:rsidRPr="00C50406">
        <w:rPr>
          <w:lang w:bidi="cs-CZ"/>
        </w:rPr>
        <w:t>18</w:t>
      </w:r>
      <w:r w:rsidRPr="00C50406">
        <w:rPr>
          <w:lang w:bidi="cs-CZ"/>
        </w:rPr>
        <w:t>0 minut</w:t>
      </w:r>
      <w:r>
        <w:rPr>
          <w:lang w:bidi="cs-CZ"/>
        </w:rPr>
        <w:t>.</w:t>
      </w:r>
      <w:r w:rsidR="00AA612E">
        <w:rPr>
          <w:lang w:bidi="cs-CZ"/>
        </w:rPr>
        <w:t xml:space="preserve"> K výsledkům testovacích scénářů dosaženým po uplynutí této doby nebude zadavatel přihlížet.</w:t>
      </w:r>
    </w:p>
    <w:p w14:paraId="2E490A18" w14:textId="73819F56" w:rsidR="00286790" w:rsidRDefault="00E1586E" w:rsidP="00CD7954">
      <w:pPr>
        <w:rPr>
          <w:lang w:bidi="cs-CZ"/>
        </w:rPr>
      </w:pPr>
      <w:r>
        <w:rPr>
          <w:lang w:bidi="cs-CZ"/>
        </w:rPr>
        <w:t>Nespln</w:t>
      </w:r>
      <w:r w:rsidR="00D416B5">
        <w:rPr>
          <w:lang w:bidi="cs-CZ"/>
        </w:rPr>
        <w:t xml:space="preserve">í-li Funkční vzorek </w:t>
      </w:r>
      <w:r>
        <w:rPr>
          <w:lang w:bidi="cs-CZ"/>
        </w:rPr>
        <w:t xml:space="preserve">v daném časovém limitu </w:t>
      </w:r>
      <w:r w:rsidR="00D416B5">
        <w:rPr>
          <w:lang w:bidi="cs-CZ"/>
        </w:rPr>
        <w:t xml:space="preserve">úspěšně všechny testovací scénáře </w:t>
      </w:r>
      <w:r>
        <w:rPr>
          <w:lang w:bidi="cs-CZ"/>
        </w:rPr>
        <w:t>anebo n</w:t>
      </w:r>
      <w:r w:rsidR="00286790">
        <w:rPr>
          <w:lang w:bidi="cs-CZ"/>
        </w:rPr>
        <w:t>eposkytn</w:t>
      </w:r>
      <w:r w:rsidR="00D416B5">
        <w:rPr>
          <w:lang w:bidi="cs-CZ"/>
        </w:rPr>
        <w:t>e-li dodavatel</w:t>
      </w:r>
      <w:r w:rsidR="00286790">
        <w:rPr>
          <w:lang w:bidi="cs-CZ"/>
        </w:rPr>
        <w:t xml:space="preserve"> potřebn</w:t>
      </w:r>
      <w:r w:rsidR="00D416B5">
        <w:rPr>
          <w:lang w:bidi="cs-CZ"/>
        </w:rPr>
        <w:t>ou</w:t>
      </w:r>
      <w:r w:rsidR="00286790">
        <w:rPr>
          <w:lang w:bidi="cs-CZ"/>
        </w:rPr>
        <w:t xml:space="preserve"> součinnost (např. </w:t>
      </w:r>
      <w:r w:rsidR="00D416B5">
        <w:rPr>
          <w:lang w:bidi="cs-CZ"/>
        </w:rPr>
        <w:t xml:space="preserve">se </w:t>
      </w:r>
      <w:r w:rsidR="0099529D">
        <w:rPr>
          <w:lang w:bidi="cs-CZ"/>
        </w:rPr>
        <w:t xml:space="preserve">bez omluvy </w:t>
      </w:r>
      <w:r w:rsidR="00286790">
        <w:rPr>
          <w:lang w:bidi="cs-CZ"/>
        </w:rPr>
        <w:t>nedostaví k testování anebo odmítn</w:t>
      </w:r>
      <w:r w:rsidR="00D416B5">
        <w:rPr>
          <w:lang w:bidi="cs-CZ"/>
        </w:rPr>
        <w:t>e</w:t>
      </w:r>
      <w:r w:rsidR="002755C8">
        <w:rPr>
          <w:lang w:bidi="cs-CZ"/>
        </w:rPr>
        <w:t xml:space="preserve"> v potřebném rozsahu</w:t>
      </w:r>
      <w:r w:rsidR="00286790">
        <w:rPr>
          <w:lang w:bidi="cs-CZ"/>
        </w:rPr>
        <w:t xml:space="preserve"> předvést požadované vlastnosti Funkčního vzorku)</w:t>
      </w:r>
      <w:r w:rsidR="00D416B5">
        <w:rPr>
          <w:lang w:bidi="cs-CZ"/>
        </w:rPr>
        <w:t>,</w:t>
      </w:r>
      <w:r w:rsidR="00286790">
        <w:rPr>
          <w:lang w:bidi="cs-CZ"/>
        </w:rPr>
        <w:t xml:space="preserve"> bude </w:t>
      </w:r>
      <w:r w:rsidR="00D416B5">
        <w:rPr>
          <w:lang w:bidi="cs-CZ"/>
        </w:rPr>
        <w:t xml:space="preserve">to </w:t>
      </w:r>
      <w:r w:rsidR="00286790">
        <w:rPr>
          <w:lang w:bidi="cs-CZ"/>
        </w:rPr>
        <w:t>posouzeno jako neprokázání příslušné části kvalifikace a takový dodavatel bude z účasti v zadávacím řízení vyloučen.</w:t>
      </w:r>
    </w:p>
    <w:p w14:paraId="56B9162B" w14:textId="628AC29E" w:rsidR="00AA612E" w:rsidRDefault="00AA612E" w:rsidP="00CD7954">
      <w:pPr>
        <w:rPr>
          <w:lang w:bidi="cs-CZ"/>
        </w:rPr>
      </w:pPr>
      <w:r>
        <w:rPr>
          <w:lang w:bidi="cs-CZ"/>
        </w:rPr>
        <w:t>Po úspěšném provedení všech testovacích scénářů, anebo po uplynutí celkové přípustné doby testování Funkčního vzorku je dodavatel povinen Funkční vzorek zabalit zpět do obalu, který musí splňovat náležitosti dle bodu 10.5 hlavního dokumentu této zadávací dokumentace.</w:t>
      </w:r>
      <w:r w:rsidR="00FE1C1B">
        <w:rPr>
          <w:lang w:bidi="cs-CZ"/>
        </w:rPr>
        <w:t xml:space="preserve"> Takto zabalený Funkční vzorek pak bude opět uložen u zadavatele</w:t>
      </w:r>
      <w:r w:rsidR="008C6F10">
        <w:rPr>
          <w:lang w:bidi="cs-CZ"/>
        </w:rPr>
        <w:t xml:space="preserve"> a následně s ním bude naloženo dle bodu 16.5 hlavního dokumentu této zadávací dokumentace</w:t>
      </w:r>
      <w:r w:rsidR="00FE1C1B">
        <w:rPr>
          <w:lang w:bidi="cs-CZ"/>
        </w:rPr>
        <w:t>.</w:t>
      </w:r>
    </w:p>
    <w:p w14:paraId="4FC7C5FB" w14:textId="3E0310CA" w:rsidR="00F41769" w:rsidRPr="00032663" w:rsidRDefault="00F41769" w:rsidP="00CD7954">
      <w:pPr>
        <w:rPr>
          <w:lang w:bidi="cs-CZ"/>
        </w:rPr>
      </w:pPr>
      <w:r>
        <w:rPr>
          <w:lang w:bidi="cs-CZ"/>
        </w:rPr>
        <w:t>O průběhu testování vyhotoví zadavatel protokol.</w:t>
      </w:r>
    </w:p>
    <w:p w14:paraId="2DE29E83" w14:textId="77777777" w:rsidR="00D23F1F" w:rsidRDefault="00D23F1F" w:rsidP="00E41BCF">
      <w:pPr>
        <w:pStyle w:val="Nadpis1"/>
      </w:pPr>
      <w:r w:rsidRPr="00D23F1F">
        <w:lastRenderedPageBreak/>
        <w:t>Další informace k prokazování kvalifikace</w:t>
      </w:r>
    </w:p>
    <w:p w14:paraId="69E7CE78" w14:textId="77777777" w:rsidR="00D23F1F" w:rsidRDefault="00D23F1F" w:rsidP="00D23F1F">
      <w:pPr>
        <w:pStyle w:val="Nadpis2"/>
        <w:keepLines w:val="0"/>
        <w:suppressAutoHyphens/>
        <w:spacing w:before="180" w:after="60"/>
        <w:ind w:left="567" w:hanging="567"/>
        <w:jc w:val="left"/>
      </w:pPr>
      <w:r>
        <w:t>Nepřípustnost nahrazení dokladů čestným prohlášením</w:t>
      </w:r>
    </w:p>
    <w:p w14:paraId="7CE8CB59" w14:textId="1EE4228A" w:rsidR="00D23F1F" w:rsidRPr="00D23F1F" w:rsidRDefault="00D23F1F" w:rsidP="00D23F1F">
      <w:r w:rsidRPr="00D23F1F">
        <w:t xml:space="preserve">Zadavatel podle </w:t>
      </w:r>
      <w:r w:rsidR="00D172EA">
        <w:t xml:space="preserve">ust. </w:t>
      </w:r>
      <w:r w:rsidRPr="00D23F1F">
        <w:t>§ 86 odst. 2 věty první ZZVZ stanoví, že dodavatel nemůže nahradit předložení dokladů čestným prohlášením.</w:t>
      </w:r>
    </w:p>
    <w:p w14:paraId="43114F73" w14:textId="7C1072B2" w:rsidR="00D23F1F" w:rsidRDefault="00D23F1F" w:rsidP="00542F95">
      <w:pPr>
        <w:pStyle w:val="Nadpis2"/>
      </w:pPr>
      <w:r w:rsidRPr="00D23F1F">
        <w:t xml:space="preserve">Prokazování kvalifikace </w:t>
      </w:r>
    </w:p>
    <w:p w14:paraId="1704F757" w14:textId="19FBB2FC" w:rsidR="000741B2" w:rsidRDefault="000741B2" w:rsidP="000741B2">
      <w:r w:rsidRPr="000741B2">
        <w:t>Dodavatel předloží doklady o kvalifikaci jako součást nabídky. Čestné prohlášení o splnění kvalifikace je třeba podepsat oprávněnou osobou.</w:t>
      </w:r>
    </w:p>
    <w:p w14:paraId="362690B1" w14:textId="46CA0154" w:rsidR="000741B2" w:rsidRDefault="000741B2" w:rsidP="000741B2">
      <w:r w:rsidRPr="000741B2">
        <w:t>Pokud zákon nebo zadavatel vyžaduje předložení dokladu podle právního řádu České republiky, může dodavatel předložit obdobný doklad podle právního řádu státu, ve kterém se tento doklad vydává; tento doklad se předkládá s překladem do českého jazyka. Má-li zadavatel pochybnosti o správnosti překladu, může si vyžádat předložení úředně ověřeného překladu dokladu do českého jazyka tlumočníkem zapsaným do seznamu znalců a</w:t>
      </w:r>
      <w:r w:rsidR="00D172EA">
        <w:t> </w:t>
      </w:r>
      <w:r w:rsidRPr="000741B2">
        <w:t>tlumočníků. Doklad ve slovenském jazyce a doklad o vzdělání v latinském jazyce se předkládají bez překladu. Pokud se podle příslušného právního řádu požadovaný doklad nevydává, může být nahrazen čestným prohlášením.</w:t>
      </w:r>
    </w:p>
    <w:p w14:paraId="310834D8" w14:textId="70F86151" w:rsidR="000741B2" w:rsidRPr="000741B2" w:rsidRDefault="000741B2" w:rsidP="000741B2">
      <w:r w:rsidRPr="000741B2">
        <w:t xml:space="preserve">V případě společné účasti dodavatelů prokazuje základní způsobilost a profesní způsobilost podle </w:t>
      </w:r>
      <w:r w:rsidR="00D172EA">
        <w:t xml:space="preserve">ust. </w:t>
      </w:r>
      <w:r w:rsidRPr="000741B2">
        <w:t xml:space="preserve">§ 77 odst. 1 </w:t>
      </w:r>
      <w:r w:rsidR="00F86F02">
        <w:t>ZZVZ</w:t>
      </w:r>
      <w:r w:rsidRPr="000741B2">
        <w:t xml:space="preserve"> každý dodavatel samostatně – viz </w:t>
      </w:r>
      <w:r w:rsidR="00D172EA">
        <w:t xml:space="preserve">ust. </w:t>
      </w:r>
      <w:r w:rsidRPr="000741B2">
        <w:t xml:space="preserve">§ 82 </w:t>
      </w:r>
      <w:r w:rsidR="00F86F02">
        <w:t>ZZVZ</w:t>
      </w:r>
      <w:r w:rsidRPr="000741B2">
        <w:t>.</w:t>
      </w:r>
    </w:p>
    <w:p w14:paraId="53F5828F" w14:textId="4EA1BC6C" w:rsidR="000741B2" w:rsidRDefault="000741B2" w:rsidP="000741B2">
      <w:r>
        <w:t>Dodavatel může prokázat určitou část technické kvalifikace nebo profesní způsobilosti s</w:t>
      </w:r>
      <w:r w:rsidR="00D172EA">
        <w:t> </w:t>
      </w:r>
      <w:r>
        <w:t xml:space="preserve">výjimkou kritéria podle </w:t>
      </w:r>
      <w:r w:rsidR="00D172EA">
        <w:t xml:space="preserve">ust. </w:t>
      </w:r>
      <w:r>
        <w:t xml:space="preserve">§ 77 odst. 1 </w:t>
      </w:r>
      <w:r w:rsidR="00F86F02">
        <w:t>ZZVZ</w:t>
      </w:r>
      <w:r>
        <w:t xml:space="preserve"> požadované </w:t>
      </w:r>
      <w:r w:rsidR="00F86F02">
        <w:t>z</w:t>
      </w:r>
      <w:r>
        <w:t xml:space="preserve">adavatelem prostřednictvím jiných osob. Dodavatel je v takovém případě povinen </w:t>
      </w:r>
      <w:r w:rsidR="00F86F02">
        <w:t>z</w:t>
      </w:r>
      <w:r>
        <w:t>adavateli předložit:</w:t>
      </w:r>
    </w:p>
    <w:p w14:paraId="3AF3D0E1" w14:textId="406CD8D6" w:rsidR="000741B2" w:rsidRDefault="000741B2" w:rsidP="00CC5A59">
      <w:r>
        <w:t>a)</w:t>
      </w:r>
      <w:r w:rsidR="00CC5A59">
        <w:t xml:space="preserve"> </w:t>
      </w:r>
      <w:r>
        <w:t xml:space="preserve">doklady prokazující splnění profesní způsobilosti podle </w:t>
      </w:r>
      <w:r w:rsidR="00D172EA">
        <w:t xml:space="preserve">ust. </w:t>
      </w:r>
      <w:r>
        <w:t xml:space="preserve">§ 77 odst. 1 </w:t>
      </w:r>
      <w:r w:rsidR="00F86F02">
        <w:t>ZZVZ</w:t>
      </w:r>
      <w:r>
        <w:t xml:space="preserve"> jinou osobou, </w:t>
      </w:r>
    </w:p>
    <w:p w14:paraId="36A118BD" w14:textId="77777777" w:rsidR="000741B2" w:rsidRDefault="000741B2" w:rsidP="000741B2">
      <w:r>
        <w:t xml:space="preserve">b) doklady prokazující splnění chybějící části kvalifikace prostřednictvím jiné osoby, </w:t>
      </w:r>
    </w:p>
    <w:p w14:paraId="5D3ECBB2" w14:textId="36377EE1" w:rsidR="000741B2" w:rsidRDefault="000741B2" w:rsidP="000741B2">
      <w:r>
        <w:t xml:space="preserve">c) doklady o splnění základní způsobilosti podle </w:t>
      </w:r>
      <w:r w:rsidR="00D172EA">
        <w:t xml:space="preserve">ust. </w:t>
      </w:r>
      <w:r>
        <w:t xml:space="preserve">§ 74 </w:t>
      </w:r>
      <w:r w:rsidR="00F86F02">
        <w:t>ZZVZ</w:t>
      </w:r>
      <w:r>
        <w:t xml:space="preserve"> jinou osobou a </w:t>
      </w:r>
    </w:p>
    <w:p w14:paraId="4CA5E40F" w14:textId="2DC64AF6" w:rsidR="000741B2" w:rsidRDefault="000741B2" w:rsidP="000741B2">
      <w:r>
        <w:t>d) písemný závazek jiné osoby k poskytnutí plnění určeného k plnění veřejné zakázky nebo k</w:t>
      </w:r>
      <w:r w:rsidR="00D172EA">
        <w:t> </w:t>
      </w:r>
      <w:r>
        <w:t xml:space="preserve">poskytnutí věcí nebo práv, s nimiž bude dodavatel oprávněn disponovat v rámci plnění veřejné zakázky, a to alespoň v rozsahu, v jakém jiná osoba prokázala kvalifikaci za dodavatele. Má se za to, že požadavek podle </w:t>
      </w:r>
      <w:r w:rsidR="00D172EA">
        <w:t xml:space="preserve">tohoto </w:t>
      </w:r>
      <w:r>
        <w:t xml:space="preserve">písm. d) je splněn, pokud obsahem písemného závazku jiné osoby je společná a nerozdílná odpovědnost této osoby za plnění veřejné zakázky společně s dodavatelem. </w:t>
      </w:r>
    </w:p>
    <w:p w14:paraId="132AFD7A" w14:textId="111CBFAD" w:rsidR="000741B2" w:rsidRDefault="000741B2" w:rsidP="000741B2">
      <w:r>
        <w:t xml:space="preserve">Prokazuje-li však dodavatel prostřednictvím jiné osoby kvalifikaci a předkládá doklady podle </w:t>
      </w:r>
      <w:r w:rsidR="00D172EA">
        <w:t xml:space="preserve">ust. </w:t>
      </w:r>
      <w:r>
        <w:t xml:space="preserve">§ 79 odst. 2 písm. b) </w:t>
      </w:r>
      <w:r w:rsidR="00F86F02">
        <w:t>ZZVZ</w:t>
      </w:r>
      <w:r>
        <w:t xml:space="preserve"> vztahující se k takové osobě, musí dokument podle odstavce d) obsahovat závazek, že jiná osoba bude vykonávat stavební práce či služby, ke kterým se prokazované kritérium kvalifikace vztahuje.</w:t>
      </w:r>
      <w:r w:rsidR="00F86F02">
        <w:t xml:space="preserve"> </w:t>
      </w:r>
    </w:p>
    <w:p w14:paraId="16F21589" w14:textId="77777777" w:rsidR="003E5BF4" w:rsidRDefault="003E5BF4" w:rsidP="000741B2"/>
    <w:p w14:paraId="254B3467" w14:textId="77777777" w:rsidR="003D5EFF" w:rsidRDefault="003D5EFF" w:rsidP="003D5EFF">
      <w:pPr>
        <w:pStyle w:val="Nadpis2"/>
      </w:pPr>
      <w:r>
        <w:lastRenderedPageBreak/>
        <w:t>Různé</w:t>
      </w:r>
    </w:p>
    <w:p w14:paraId="512614FB" w14:textId="77777777" w:rsidR="003D5EFF" w:rsidRPr="00542F95" w:rsidRDefault="003D5EFF" w:rsidP="003D5EFF">
      <w:r>
        <w:t>V ostatním se prokazování a posuzování kvalifikace řídí příslušnými ustanoveními ZZVZ.</w:t>
      </w:r>
    </w:p>
    <w:p w14:paraId="3CFFB88D" w14:textId="77777777" w:rsidR="00D23F1F" w:rsidRDefault="00D23F1F" w:rsidP="00D23F1F"/>
    <w:p w14:paraId="3A7B7B34" w14:textId="2C487A5F" w:rsidR="00F86F02" w:rsidRDefault="0080734D" w:rsidP="00F86F02">
      <w:r>
        <w:t>V </w:t>
      </w:r>
      <w:r w:rsidR="00A82F63">
        <w:t>Praze</w:t>
      </w:r>
      <w:r>
        <w:t xml:space="preserve"> dne </w:t>
      </w:r>
      <w:r w:rsidR="00CC5A59">
        <w:t>………………………</w:t>
      </w:r>
      <w:r w:rsidR="00CC5A59">
        <w:tab/>
      </w:r>
      <w:r w:rsidR="00CC5A59">
        <w:tab/>
        <w:t xml:space="preserve">            </w:t>
      </w:r>
      <w:r w:rsidR="00F86F02">
        <w:t>……………………………………</w:t>
      </w:r>
    </w:p>
    <w:p w14:paraId="6391F5DC" w14:textId="4BA0D3B8" w:rsidR="00105805" w:rsidRPr="00105805" w:rsidRDefault="00105805" w:rsidP="00105805">
      <w:pPr>
        <w:spacing w:after="0"/>
      </w:pPr>
      <w:r>
        <w:tab/>
      </w:r>
      <w:r>
        <w:tab/>
      </w:r>
      <w:r>
        <w:tab/>
      </w:r>
      <w:r>
        <w:tab/>
      </w:r>
      <w:r>
        <w:tab/>
      </w:r>
      <w:r>
        <w:tab/>
      </w:r>
      <w:r>
        <w:tab/>
      </w:r>
      <w:r>
        <w:tab/>
      </w:r>
      <w:r w:rsidRPr="00105805">
        <w:t>Martin Herman</w:t>
      </w:r>
    </w:p>
    <w:p w14:paraId="7191EF62" w14:textId="445890A7" w:rsidR="00105805" w:rsidRPr="00105805" w:rsidRDefault="00105805" w:rsidP="00105805">
      <w:pPr>
        <w:spacing w:after="0"/>
      </w:pPr>
      <w:r w:rsidRPr="00105805">
        <w:t xml:space="preserve"> </w:t>
      </w:r>
      <w:r>
        <w:tab/>
      </w:r>
      <w:r>
        <w:tab/>
      </w:r>
      <w:r>
        <w:tab/>
      </w:r>
      <w:r>
        <w:tab/>
      </w:r>
      <w:r>
        <w:tab/>
      </w:r>
      <w:r>
        <w:tab/>
        <w:t xml:space="preserve">       </w:t>
      </w:r>
      <w:r w:rsidRPr="00105805">
        <w:t xml:space="preserve">radní pro oblast investic a veřejných zakázek  </w:t>
      </w:r>
    </w:p>
    <w:p w14:paraId="738AF807" w14:textId="610164D4" w:rsidR="00105805" w:rsidRDefault="00105805" w:rsidP="00F86F02"/>
    <w:sectPr w:rsidR="00105805" w:rsidSect="008B780C">
      <w:headerReference w:type="default" r:id="rId8"/>
      <w:footerReference w:type="default" r:id="rId9"/>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A17BC5" w14:textId="77777777" w:rsidR="006A7EE4" w:rsidRDefault="006A7EE4" w:rsidP="009F38A3">
      <w:pPr>
        <w:spacing w:after="0"/>
      </w:pPr>
      <w:r>
        <w:separator/>
      </w:r>
    </w:p>
  </w:endnote>
  <w:endnote w:type="continuationSeparator" w:id="0">
    <w:p w14:paraId="6D6E56F2" w14:textId="77777777" w:rsidR="006A7EE4" w:rsidRDefault="006A7EE4" w:rsidP="009F38A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9CF411" w14:textId="65AE3912" w:rsidR="003C49F4" w:rsidRPr="009F38A3" w:rsidRDefault="003C49F4" w:rsidP="009F38A3">
    <w:pPr>
      <w:pStyle w:val="Zpat"/>
      <w:jc w:val="center"/>
      <w:rPr>
        <w:sz w:val="20"/>
      </w:rPr>
    </w:pPr>
    <w:r w:rsidRPr="009F38A3">
      <w:rPr>
        <w:sz w:val="20"/>
      </w:rPr>
      <w:t xml:space="preserve">strana </w:t>
    </w:r>
    <w:r w:rsidRPr="009F38A3">
      <w:rPr>
        <w:sz w:val="20"/>
      </w:rPr>
      <w:fldChar w:fldCharType="begin"/>
    </w:r>
    <w:r w:rsidRPr="009F38A3">
      <w:rPr>
        <w:sz w:val="20"/>
      </w:rPr>
      <w:instrText xml:space="preserve"> PAGE   \* MERGEFORMAT </w:instrText>
    </w:r>
    <w:r w:rsidRPr="009F38A3">
      <w:rPr>
        <w:sz w:val="20"/>
      </w:rPr>
      <w:fldChar w:fldCharType="separate"/>
    </w:r>
    <w:r w:rsidR="00764B23">
      <w:rPr>
        <w:noProof/>
        <w:sz w:val="20"/>
      </w:rPr>
      <w:t>9</w:t>
    </w:r>
    <w:r w:rsidRPr="009F38A3">
      <w:rPr>
        <w:sz w:val="20"/>
      </w:rPr>
      <w:fldChar w:fldCharType="end"/>
    </w:r>
    <w:r w:rsidRPr="009F38A3">
      <w:rPr>
        <w:sz w:val="20"/>
      </w:rPr>
      <w:t xml:space="preserve"> z </w:t>
    </w:r>
    <w:r w:rsidRPr="009F38A3">
      <w:rPr>
        <w:sz w:val="20"/>
      </w:rPr>
      <w:fldChar w:fldCharType="begin"/>
    </w:r>
    <w:r w:rsidRPr="009F38A3">
      <w:rPr>
        <w:sz w:val="20"/>
      </w:rPr>
      <w:instrText xml:space="preserve"> NUMPAGES   \* MERGEFORMAT </w:instrText>
    </w:r>
    <w:r w:rsidRPr="009F38A3">
      <w:rPr>
        <w:sz w:val="20"/>
      </w:rPr>
      <w:fldChar w:fldCharType="separate"/>
    </w:r>
    <w:r w:rsidR="00764B23">
      <w:rPr>
        <w:noProof/>
        <w:sz w:val="20"/>
      </w:rPr>
      <w:t>9</w:t>
    </w:r>
    <w:r w:rsidRPr="009F38A3">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BD898C" w14:textId="77777777" w:rsidR="006A7EE4" w:rsidRDefault="006A7EE4" w:rsidP="009F38A3">
      <w:pPr>
        <w:spacing w:after="0"/>
      </w:pPr>
      <w:r>
        <w:separator/>
      </w:r>
    </w:p>
  </w:footnote>
  <w:footnote w:type="continuationSeparator" w:id="0">
    <w:p w14:paraId="1A864939" w14:textId="77777777" w:rsidR="006A7EE4" w:rsidRDefault="006A7EE4" w:rsidP="009F38A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E72A22" w14:textId="43483AEF" w:rsidR="008B780C" w:rsidRDefault="008B780C" w:rsidP="00E72FE7">
    <w:pPr>
      <w:pStyle w:val="Zhlav"/>
      <w:jc w:val="center"/>
      <w:rPr>
        <w:b/>
        <w:sz w:val="20"/>
        <w:szCs w:val="20"/>
      </w:rPr>
    </w:pPr>
    <w:r>
      <w:rPr>
        <w:noProof/>
        <w:lang w:eastAsia="cs-CZ"/>
      </w:rPr>
      <w:drawing>
        <wp:inline distT="0" distB="0" distL="0" distR="0" wp14:anchorId="4509C1D5" wp14:editId="225DEE82">
          <wp:extent cx="5715000" cy="885825"/>
          <wp:effectExtent l="0" t="0" r="0" b="9525"/>
          <wp:docPr id="1" name="Obrázek 1" descr="IROP 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ROP č"/>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0" cy="885825"/>
                  </a:xfrm>
                  <a:prstGeom prst="rect">
                    <a:avLst/>
                  </a:prstGeom>
                  <a:noFill/>
                  <a:ln>
                    <a:noFill/>
                  </a:ln>
                </pic:spPr>
              </pic:pic>
            </a:graphicData>
          </a:graphic>
        </wp:inline>
      </w:drawing>
    </w:r>
  </w:p>
  <w:p w14:paraId="5BA87850" w14:textId="0C5D9297" w:rsidR="00FE6699" w:rsidRDefault="00FE6699" w:rsidP="00E72FE7">
    <w:pPr>
      <w:pStyle w:val="Zhlav"/>
      <w:jc w:val="center"/>
      <w:rPr>
        <w:b/>
        <w:sz w:val="20"/>
        <w:szCs w:val="20"/>
      </w:rPr>
    </w:pPr>
    <w:r>
      <w:rPr>
        <w:b/>
        <w:sz w:val="20"/>
        <w:szCs w:val="20"/>
      </w:rPr>
      <w:t>Zadávací řízení na uzavření rámcové dohody s názvem</w:t>
    </w:r>
    <w:r w:rsidRPr="004D76C8">
      <w:rPr>
        <w:b/>
        <w:sz w:val="20"/>
        <w:szCs w:val="20"/>
      </w:rPr>
      <w:t xml:space="preserve"> „</w:t>
    </w:r>
    <w:r w:rsidR="00931D7B" w:rsidRPr="00931D7B">
      <w:rPr>
        <w:b/>
        <w:sz w:val="20"/>
        <w:szCs w:val="20"/>
      </w:rPr>
      <w:t>Rámcová dohoda na modernizac</w:t>
    </w:r>
    <w:r w:rsidR="001F4E61">
      <w:rPr>
        <w:b/>
        <w:sz w:val="20"/>
        <w:szCs w:val="20"/>
      </w:rPr>
      <w:t>i</w:t>
    </w:r>
    <w:r w:rsidR="00931D7B" w:rsidRPr="00931D7B">
      <w:rPr>
        <w:b/>
        <w:sz w:val="20"/>
        <w:szCs w:val="20"/>
      </w:rPr>
      <w:t xml:space="preserve"> zastávkového informačního systému Středočeského kraje</w:t>
    </w:r>
    <w:r w:rsidRPr="004D76C8">
      <w:rPr>
        <w:b/>
        <w:sz w:val="20"/>
        <w:szCs w:val="20"/>
      </w:rPr>
      <w:t>“</w:t>
    </w:r>
  </w:p>
  <w:p w14:paraId="691C88C0" w14:textId="77777777" w:rsidR="003C49F4" w:rsidRDefault="00E72FE7" w:rsidP="00E72FE7">
    <w:pPr>
      <w:pStyle w:val="Zhlav"/>
      <w:jc w:val="center"/>
      <w:rPr>
        <w:sz w:val="20"/>
        <w:szCs w:val="20"/>
      </w:rPr>
    </w:pPr>
    <w:r>
      <w:rPr>
        <w:sz w:val="20"/>
        <w:szCs w:val="20"/>
      </w:rPr>
      <w:t xml:space="preserve">Dokumentace zadávacího řízení – </w:t>
    </w:r>
    <w:r w:rsidR="00D23F1F">
      <w:rPr>
        <w:sz w:val="20"/>
        <w:szCs w:val="20"/>
      </w:rPr>
      <w:t xml:space="preserve">příloha </w:t>
    </w:r>
    <w:r w:rsidR="00C155FC">
      <w:rPr>
        <w:sz w:val="20"/>
        <w:szCs w:val="20"/>
      </w:rPr>
      <w:t>A</w:t>
    </w:r>
  </w:p>
  <w:p w14:paraId="06B718FA" w14:textId="77777777" w:rsidR="00E72FE7" w:rsidRPr="004D76C8" w:rsidRDefault="00E72FE7" w:rsidP="00E72FE7">
    <w:pPr>
      <w:pStyle w:val="Zhlav"/>
      <w:jc w:val="center"/>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lvl w:ilvl="0">
      <w:start w:val="1"/>
      <w:numFmt w:val="upperRoman"/>
      <w:lvlText w:val="%1)"/>
      <w:lvlJc w:val="left"/>
      <w:pPr>
        <w:tabs>
          <w:tab w:val="num" w:pos="1080"/>
        </w:tabs>
        <w:ind w:left="1080" w:hanging="720"/>
      </w:pPr>
      <w:rPr>
        <w:rFonts w:eastAsia="SimSun"/>
      </w:rPr>
    </w:lvl>
  </w:abstractNum>
  <w:abstractNum w:abstractNumId="1" w15:restartNumberingAfterBreak="0">
    <w:nsid w:val="0000000E"/>
    <w:multiLevelType w:val="singleLevel"/>
    <w:tmpl w:val="0000000E"/>
    <w:name w:val="WW8Num38"/>
    <w:lvl w:ilvl="0">
      <w:start w:val="1"/>
      <w:numFmt w:val="bullet"/>
      <w:lvlText w:val=""/>
      <w:lvlJc w:val="left"/>
      <w:pPr>
        <w:tabs>
          <w:tab w:val="num" w:pos="720"/>
        </w:tabs>
        <w:ind w:left="720" w:hanging="360"/>
      </w:pPr>
      <w:rPr>
        <w:rFonts w:ascii="Symbol" w:hAnsi="Symbol" w:cs="Symbol"/>
        <w:color w:val="auto"/>
        <w:sz w:val="18"/>
        <w:szCs w:val="18"/>
      </w:rPr>
    </w:lvl>
  </w:abstractNum>
  <w:abstractNum w:abstractNumId="2" w15:restartNumberingAfterBreak="0">
    <w:nsid w:val="080014BE"/>
    <w:multiLevelType w:val="multilevel"/>
    <w:tmpl w:val="6420A45A"/>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 w15:restartNumberingAfterBreak="0">
    <w:nsid w:val="0E7D750B"/>
    <w:multiLevelType w:val="hybridMultilevel"/>
    <w:tmpl w:val="E4B6A0F8"/>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 w15:restartNumberingAfterBreak="0">
    <w:nsid w:val="107C0EE4"/>
    <w:multiLevelType w:val="hybridMultilevel"/>
    <w:tmpl w:val="7A2A2A22"/>
    <w:lvl w:ilvl="0" w:tplc="04050001">
      <w:start w:val="1"/>
      <w:numFmt w:val="bullet"/>
      <w:lvlText w:val=""/>
      <w:lvlJc w:val="left"/>
      <w:pPr>
        <w:tabs>
          <w:tab w:val="num" w:pos="774"/>
        </w:tabs>
        <w:ind w:left="774" w:hanging="360"/>
      </w:pPr>
      <w:rPr>
        <w:rFonts w:ascii="Symbol" w:hAnsi="Symbol" w:hint="default"/>
      </w:rPr>
    </w:lvl>
    <w:lvl w:ilvl="1" w:tplc="04050003">
      <w:start w:val="1"/>
      <w:numFmt w:val="bullet"/>
      <w:lvlText w:val="o"/>
      <w:lvlJc w:val="left"/>
      <w:pPr>
        <w:tabs>
          <w:tab w:val="num" w:pos="1494"/>
        </w:tabs>
        <w:ind w:left="1494" w:hanging="360"/>
      </w:pPr>
      <w:rPr>
        <w:rFonts w:ascii="Courier New" w:hAnsi="Courier New" w:cs="Courier New" w:hint="default"/>
      </w:rPr>
    </w:lvl>
    <w:lvl w:ilvl="2" w:tplc="04050005" w:tentative="1">
      <w:start w:val="1"/>
      <w:numFmt w:val="bullet"/>
      <w:lvlText w:val=""/>
      <w:lvlJc w:val="left"/>
      <w:pPr>
        <w:tabs>
          <w:tab w:val="num" w:pos="2214"/>
        </w:tabs>
        <w:ind w:left="2214" w:hanging="360"/>
      </w:pPr>
      <w:rPr>
        <w:rFonts w:ascii="Wingdings" w:hAnsi="Wingdings" w:hint="default"/>
      </w:rPr>
    </w:lvl>
    <w:lvl w:ilvl="3" w:tplc="04050001" w:tentative="1">
      <w:start w:val="1"/>
      <w:numFmt w:val="bullet"/>
      <w:lvlText w:val=""/>
      <w:lvlJc w:val="left"/>
      <w:pPr>
        <w:tabs>
          <w:tab w:val="num" w:pos="2934"/>
        </w:tabs>
        <w:ind w:left="2934" w:hanging="360"/>
      </w:pPr>
      <w:rPr>
        <w:rFonts w:ascii="Symbol" w:hAnsi="Symbol" w:hint="default"/>
      </w:rPr>
    </w:lvl>
    <w:lvl w:ilvl="4" w:tplc="04050003" w:tentative="1">
      <w:start w:val="1"/>
      <w:numFmt w:val="bullet"/>
      <w:lvlText w:val="o"/>
      <w:lvlJc w:val="left"/>
      <w:pPr>
        <w:tabs>
          <w:tab w:val="num" w:pos="3654"/>
        </w:tabs>
        <w:ind w:left="3654" w:hanging="360"/>
      </w:pPr>
      <w:rPr>
        <w:rFonts w:ascii="Courier New" w:hAnsi="Courier New" w:cs="Courier New" w:hint="default"/>
      </w:rPr>
    </w:lvl>
    <w:lvl w:ilvl="5" w:tplc="04050005" w:tentative="1">
      <w:start w:val="1"/>
      <w:numFmt w:val="bullet"/>
      <w:lvlText w:val=""/>
      <w:lvlJc w:val="left"/>
      <w:pPr>
        <w:tabs>
          <w:tab w:val="num" w:pos="4374"/>
        </w:tabs>
        <w:ind w:left="4374" w:hanging="360"/>
      </w:pPr>
      <w:rPr>
        <w:rFonts w:ascii="Wingdings" w:hAnsi="Wingdings" w:hint="default"/>
      </w:rPr>
    </w:lvl>
    <w:lvl w:ilvl="6" w:tplc="04050001" w:tentative="1">
      <w:start w:val="1"/>
      <w:numFmt w:val="bullet"/>
      <w:lvlText w:val=""/>
      <w:lvlJc w:val="left"/>
      <w:pPr>
        <w:tabs>
          <w:tab w:val="num" w:pos="5094"/>
        </w:tabs>
        <w:ind w:left="5094" w:hanging="360"/>
      </w:pPr>
      <w:rPr>
        <w:rFonts w:ascii="Symbol" w:hAnsi="Symbol" w:hint="default"/>
      </w:rPr>
    </w:lvl>
    <w:lvl w:ilvl="7" w:tplc="04050003" w:tentative="1">
      <w:start w:val="1"/>
      <w:numFmt w:val="bullet"/>
      <w:lvlText w:val="o"/>
      <w:lvlJc w:val="left"/>
      <w:pPr>
        <w:tabs>
          <w:tab w:val="num" w:pos="5814"/>
        </w:tabs>
        <w:ind w:left="5814" w:hanging="360"/>
      </w:pPr>
      <w:rPr>
        <w:rFonts w:ascii="Courier New" w:hAnsi="Courier New" w:cs="Courier New" w:hint="default"/>
      </w:rPr>
    </w:lvl>
    <w:lvl w:ilvl="8" w:tplc="04050005" w:tentative="1">
      <w:start w:val="1"/>
      <w:numFmt w:val="bullet"/>
      <w:lvlText w:val=""/>
      <w:lvlJc w:val="left"/>
      <w:pPr>
        <w:tabs>
          <w:tab w:val="num" w:pos="6534"/>
        </w:tabs>
        <w:ind w:left="6534" w:hanging="360"/>
      </w:pPr>
      <w:rPr>
        <w:rFonts w:ascii="Wingdings" w:hAnsi="Wingdings" w:hint="default"/>
      </w:rPr>
    </w:lvl>
  </w:abstractNum>
  <w:abstractNum w:abstractNumId="5" w15:restartNumberingAfterBreak="0">
    <w:nsid w:val="1ECE795A"/>
    <w:multiLevelType w:val="hybridMultilevel"/>
    <w:tmpl w:val="CB12FBC0"/>
    <w:lvl w:ilvl="0" w:tplc="4E324802">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0146209"/>
    <w:multiLevelType w:val="hybridMultilevel"/>
    <w:tmpl w:val="01D49892"/>
    <w:lvl w:ilvl="0" w:tplc="04050017">
      <w:start w:val="1"/>
      <w:numFmt w:val="lowerLetter"/>
      <w:lvlText w:val="%1)"/>
      <w:lvlJc w:val="left"/>
      <w:pPr>
        <w:ind w:left="1065" w:hanging="360"/>
      </w:pPr>
    </w:lvl>
    <w:lvl w:ilvl="1" w:tplc="04050019">
      <w:start w:val="1"/>
      <w:numFmt w:val="lowerLetter"/>
      <w:lvlText w:val="%2."/>
      <w:lvlJc w:val="left"/>
      <w:pPr>
        <w:ind w:left="1785" w:hanging="360"/>
      </w:pPr>
      <w:rPr>
        <w:rFonts w:cs="Times New Roman"/>
      </w:rPr>
    </w:lvl>
    <w:lvl w:ilvl="2" w:tplc="0405001B">
      <w:start w:val="1"/>
      <w:numFmt w:val="lowerRoman"/>
      <w:lvlText w:val="%3."/>
      <w:lvlJc w:val="right"/>
      <w:pPr>
        <w:ind w:left="2505" w:hanging="180"/>
      </w:pPr>
      <w:rPr>
        <w:rFonts w:cs="Times New Roman"/>
      </w:rPr>
    </w:lvl>
    <w:lvl w:ilvl="3" w:tplc="0405000F">
      <w:start w:val="1"/>
      <w:numFmt w:val="decimal"/>
      <w:lvlText w:val="%4."/>
      <w:lvlJc w:val="left"/>
      <w:pPr>
        <w:ind w:left="3225" w:hanging="360"/>
      </w:pPr>
      <w:rPr>
        <w:rFonts w:cs="Times New Roman"/>
      </w:rPr>
    </w:lvl>
    <w:lvl w:ilvl="4" w:tplc="04050019">
      <w:start w:val="1"/>
      <w:numFmt w:val="lowerLetter"/>
      <w:lvlText w:val="%5."/>
      <w:lvlJc w:val="left"/>
      <w:pPr>
        <w:ind w:left="3945" w:hanging="360"/>
      </w:pPr>
      <w:rPr>
        <w:rFonts w:cs="Times New Roman"/>
      </w:rPr>
    </w:lvl>
    <w:lvl w:ilvl="5" w:tplc="0405001B">
      <w:start w:val="1"/>
      <w:numFmt w:val="lowerRoman"/>
      <w:lvlText w:val="%6."/>
      <w:lvlJc w:val="right"/>
      <w:pPr>
        <w:ind w:left="4665" w:hanging="180"/>
      </w:pPr>
      <w:rPr>
        <w:rFonts w:cs="Times New Roman"/>
      </w:rPr>
    </w:lvl>
    <w:lvl w:ilvl="6" w:tplc="0405000F">
      <w:start w:val="1"/>
      <w:numFmt w:val="decimal"/>
      <w:lvlText w:val="%7."/>
      <w:lvlJc w:val="left"/>
      <w:pPr>
        <w:ind w:left="5385" w:hanging="360"/>
      </w:pPr>
      <w:rPr>
        <w:rFonts w:cs="Times New Roman"/>
      </w:rPr>
    </w:lvl>
    <w:lvl w:ilvl="7" w:tplc="04050019">
      <w:start w:val="1"/>
      <w:numFmt w:val="lowerLetter"/>
      <w:lvlText w:val="%8."/>
      <w:lvlJc w:val="left"/>
      <w:pPr>
        <w:ind w:left="6105" w:hanging="360"/>
      </w:pPr>
      <w:rPr>
        <w:rFonts w:cs="Times New Roman"/>
      </w:rPr>
    </w:lvl>
    <w:lvl w:ilvl="8" w:tplc="0405001B">
      <w:start w:val="1"/>
      <w:numFmt w:val="lowerRoman"/>
      <w:lvlText w:val="%9."/>
      <w:lvlJc w:val="right"/>
      <w:pPr>
        <w:ind w:left="6825" w:hanging="180"/>
      </w:pPr>
      <w:rPr>
        <w:rFonts w:cs="Times New Roman"/>
      </w:rPr>
    </w:lvl>
  </w:abstractNum>
  <w:abstractNum w:abstractNumId="7" w15:restartNumberingAfterBreak="0">
    <w:nsid w:val="22195A65"/>
    <w:multiLevelType w:val="hybridMultilevel"/>
    <w:tmpl w:val="3ABA65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96680E"/>
    <w:multiLevelType w:val="hybridMultilevel"/>
    <w:tmpl w:val="666EF3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1665457"/>
    <w:multiLevelType w:val="hybridMultilevel"/>
    <w:tmpl w:val="8C32FE14"/>
    <w:lvl w:ilvl="0" w:tplc="04050017">
      <w:start w:val="1"/>
      <w:numFmt w:val="lowerLetter"/>
      <w:lvlText w:val="%1)"/>
      <w:lvlJc w:val="left"/>
      <w:pPr>
        <w:ind w:left="720" w:hanging="360"/>
      </w:pPr>
    </w:lvl>
    <w:lvl w:ilvl="1" w:tplc="D7CC2B96">
      <w:numFmt w:val="bullet"/>
      <w:lvlText w:val="-"/>
      <w:lvlJc w:val="left"/>
      <w:pPr>
        <w:ind w:left="1440" w:hanging="360"/>
      </w:pPr>
      <w:rPr>
        <w:rFonts w:ascii="Palatino Linotype" w:eastAsia="Calibri" w:hAnsi="Palatino Linotype"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8D92C8E"/>
    <w:multiLevelType w:val="hybridMultilevel"/>
    <w:tmpl w:val="E56AB100"/>
    <w:lvl w:ilvl="0" w:tplc="FF364816">
      <w:start w:val="1"/>
      <w:numFmt w:val="bullet"/>
      <w:lvlText w:val="-"/>
      <w:lvlJc w:val="left"/>
      <w:pPr>
        <w:ind w:left="720" w:hanging="360"/>
      </w:pPr>
      <w:rPr>
        <w:rFonts w:ascii="Times New Roman" w:eastAsiaTheme="minorHAnsi"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AFE554D"/>
    <w:multiLevelType w:val="hybridMultilevel"/>
    <w:tmpl w:val="F3F832F8"/>
    <w:lvl w:ilvl="0" w:tplc="C4D6BA1A">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B2539BB"/>
    <w:multiLevelType w:val="hybridMultilevel"/>
    <w:tmpl w:val="D10677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EE6445F"/>
    <w:multiLevelType w:val="multilevel"/>
    <w:tmpl w:val="4A0AC13A"/>
    <w:lvl w:ilvl="0">
      <w:start w:val="1"/>
      <w:numFmt w:val="bullet"/>
      <w:lvlText w:val=""/>
      <w:lvlJc w:val="left"/>
      <w:pPr>
        <w:ind w:left="432" w:hanging="432"/>
      </w:pPr>
      <w:rPr>
        <w:rFonts w:ascii="Symbol" w:hAnsi="Symbol"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3FE44396"/>
    <w:multiLevelType w:val="hybridMultilevel"/>
    <w:tmpl w:val="4148E1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3FE1C8F"/>
    <w:multiLevelType w:val="hybridMultilevel"/>
    <w:tmpl w:val="C28878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4AA5D86"/>
    <w:multiLevelType w:val="hybridMultilevel"/>
    <w:tmpl w:val="68585CE4"/>
    <w:lvl w:ilvl="0" w:tplc="FF364816">
      <w:start w:val="1"/>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5E06F31"/>
    <w:multiLevelType w:val="hybridMultilevel"/>
    <w:tmpl w:val="003E89B0"/>
    <w:lvl w:ilvl="0" w:tplc="A7B67B8A">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65024EF"/>
    <w:multiLevelType w:val="hybridMultilevel"/>
    <w:tmpl w:val="369A405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A276C9B"/>
    <w:multiLevelType w:val="hybridMultilevel"/>
    <w:tmpl w:val="695417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D634E4"/>
    <w:multiLevelType w:val="hybridMultilevel"/>
    <w:tmpl w:val="9C4EF8B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87C6489"/>
    <w:multiLevelType w:val="hybridMultilevel"/>
    <w:tmpl w:val="01D49892"/>
    <w:lvl w:ilvl="0" w:tplc="04050017">
      <w:start w:val="1"/>
      <w:numFmt w:val="lowerLetter"/>
      <w:lvlText w:val="%1)"/>
      <w:lvlJc w:val="left"/>
      <w:pPr>
        <w:ind w:left="1065" w:hanging="360"/>
      </w:pPr>
    </w:lvl>
    <w:lvl w:ilvl="1" w:tplc="04050019">
      <w:start w:val="1"/>
      <w:numFmt w:val="lowerLetter"/>
      <w:lvlText w:val="%2."/>
      <w:lvlJc w:val="left"/>
      <w:pPr>
        <w:ind w:left="1785" w:hanging="360"/>
      </w:pPr>
      <w:rPr>
        <w:rFonts w:cs="Times New Roman"/>
      </w:rPr>
    </w:lvl>
    <w:lvl w:ilvl="2" w:tplc="0405001B">
      <w:start w:val="1"/>
      <w:numFmt w:val="lowerRoman"/>
      <w:lvlText w:val="%3."/>
      <w:lvlJc w:val="right"/>
      <w:pPr>
        <w:ind w:left="2505" w:hanging="180"/>
      </w:pPr>
      <w:rPr>
        <w:rFonts w:cs="Times New Roman"/>
      </w:rPr>
    </w:lvl>
    <w:lvl w:ilvl="3" w:tplc="0405000F">
      <w:start w:val="1"/>
      <w:numFmt w:val="decimal"/>
      <w:lvlText w:val="%4."/>
      <w:lvlJc w:val="left"/>
      <w:pPr>
        <w:ind w:left="3225" w:hanging="360"/>
      </w:pPr>
      <w:rPr>
        <w:rFonts w:cs="Times New Roman"/>
      </w:rPr>
    </w:lvl>
    <w:lvl w:ilvl="4" w:tplc="04050019">
      <w:start w:val="1"/>
      <w:numFmt w:val="lowerLetter"/>
      <w:lvlText w:val="%5."/>
      <w:lvlJc w:val="left"/>
      <w:pPr>
        <w:ind w:left="3945" w:hanging="360"/>
      </w:pPr>
      <w:rPr>
        <w:rFonts w:cs="Times New Roman"/>
      </w:rPr>
    </w:lvl>
    <w:lvl w:ilvl="5" w:tplc="0405001B">
      <w:start w:val="1"/>
      <w:numFmt w:val="lowerRoman"/>
      <w:lvlText w:val="%6."/>
      <w:lvlJc w:val="right"/>
      <w:pPr>
        <w:ind w:left="4665" w:hanging="180"/>
      </w:pPr>
      <w:rPr>
        <w:rFonts w:cs="Times New Roman"/>
      </w:rPr>
    </w:lvl>
    <w:lvl w:ilvl="6" w:tplc="0405000F">
      <w:start w:val="1"/>
      <w:numFmt w:val="decimal"/>
      <w:lvlText w:val="%7."/>
      <w:lvlJc w:val="left"/>
      <w:pPr>
        <w:ind w:left="5385" w:hanging="360"/>
      </w:pPr>
      <w:rPr>
        <w:rFonts w:cs="Times New Roman"/>
      </w:rPr>
    </w:lvl>
    <w:lvl w:ilvl="7" w:tplc="04050019">
      <w:start w:val="1"/>
      <w:numFmt w:val="lowerLetter"/>
      <w:lvlText w:val="%8."/>
      <w:lvlJc w:val="left"/>
      <w:pPr>
        <w:ind w:left="6105" w:hanging="360"/>
      </w:pPr>
      <w:rPr>
        <w:rFonts w:cs="Times New Roman"/>
      </w:rPr>
    </w:lvl>
    <w:lvl w:ilvl="8" w:tplc="0405001B">
      <w:start w:val="1"/>
      <w:numFmt w:val="lowerRoman"/>
      <w:lvlText w:val="%9."/>
      <w:lvlJc w:val="right"/>
      <w:pPr>
        <w:ind w:left="6825" w:hanging="180"/>
      </w:pPr>
      <w:rPr>
        <w:rFonts w:cs="Times New Roman"/>
      </w:rPr>
    </w:lvl>
  </w:abstractNum>
  <w:abstractNum w:abstractNumId="22" w15:restartNumberingAfterBreak="0">
    <w:nsid w:val="589E7029"/>
    <w:multiLevelType w:val="hybridMultilevel"/>
    <w:tmpl w:val="5E8A66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24C5A72"/>
    <w:multiLevelType w:val="hybridMultilevel"/>
    <w:tmpl w:val="014052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49B68D9"/>
    <w:multiLevelType w:val="hybridMultilevel"/>
    <w:tmpl w:val="CB8C4118"/>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3263A2B"/>
    <w:multiLevelType w:val="hybridMultilevel"/>
    <w:tmpl w:val="FF9CB38C"/>
    <w:lvl w:ilvl="0" w:tplc="9EDA9A78">
      <w:start w:val="1"/>
      <w:numFmt w:val="lowerLetter"/>
      <w:lvlText w:val="%1)"/>
      <w:lvlJc w:val="left"/>
      <w:pPr>
        <w:ind w:left="2190" w:hanging="360"/>
      </w:pPr>
      <w:rPr>
        <w:rFonts w:ascii="Calibri" w:eastAsia="Times New Roman" w:hAnsi="Calibri" w:cs="Times New Roman" w:hint="default"/>
        <w:sz w:val="22"/>
      </w:rPr>
    </w:lvl>
    <w:lvl w:ilvl="1" w:tplc="04050019">
      <w:start w:val="1"/>
      <w:numFmt w:val="lowerLetter"/>
      <w:lvlText w:val="%2."/>
      <w:lvlJc w:val="left"/>
      <w:pPr>
        <w:ind w:left="2910" w:hanging="360"/>
      </w:pPr>
      <w:rPr>
        <w:rFonts w:cs="Times New Roman"/>
      </w:rPr>
    </w:lvl>
    <w:lvl w:ilvl="2" w:tplc="0405001B">
      <w:start w:val="1"/>
      <w:numFmt w:val="lowerRoman"/>
      <w:lvlText w:val="%3."/>
      <w:lvlJc w:val="right"/>
      <w:pPr>
        <w:ind w:left="3630" w:hanging="180"/>
      </w:pPr>
      <w:rPr>
        <w:rFonts w:cs="Times New Roman"/>
      </w:rPr>
    </w:lvl>
    <w:lvl w:ilvl="3" w:tplc="0405000F">
      <w:start w:val="1"/>
      <w:numFmt w:val="decimal"/>
      <w:lvlText w:val="%4."/>
      <w:lvlJc w:val="left"/>
      <w:pPr>
        <w:ind w:left="4350" w:hanging="360"/>
      </w:pPr>
      <w:rPr>
        <w:rFonts w:cs="Times New Roman"/>
      </w:rPr>
    </w:lvl>
    <w:lvl w:ilvl="4" w:tplc="04050019">
      <w:start w:val="1"/>
      <w:numFmt w:val="lowerLetter"/>
      <w:lvlText w:val="%5."/>
      <w:lvlJc w:val="left"/>
      <w:pPr>
        <w:ind w:left="5070" w:hanging="360"/>
      </w:pPr>
      <w:rPr>
        <w:rFonts w:cs="Times New Roman"/>
      </w:rPr>
    </w:lvl>
    <w:lvl w:ilvl="5" w:tplc="0405001B">
      <w:start w:val="1"/>
      <w:numFmt w:val="lowerRoman"/>
      <w:lvlText w:val="%6."/>
      <w:lvlJc w:val="right"/>
      <w:pPr>
        <w:ind w:left="5790" w:hanging="180"/>
      </w:pPr>
      <w:rPr>
        <w:rFonts w:cs="Times New Roman"/>
      </w:rPr>
    </w:lvl>
    <w:lvl w:ilvl="6" w:tplc="0405000F">
      <w:start w:val="1"/>
      <w:numFmt w:val="decimal"/>
      <w:lvlText w:val="%7."/>
      <w:lvlJc w:val="left"/>
      <w:pPr>
        <w:ind w:left="6510" w:hanging="360"/>
      </w:pPr>
      <w:rPr>
        <w:rFonts w:cs="Times New Roman"/>
      </w:rPr>
    </w:lvl>
    <w:lvl w:ilvl="7" w:tplc="04050019">
      <w:start w:val="1"/>
      <w:numFmt w:val="lowerLetter"/>
      <w:lvlText w:val="%8."/>
      <w:lvlJc w:val="left"/>
      <w:pPr>
        <w:ind w:left="7230" w:hanging="360"/>
      </w:pPr>
      <w:rPr>
        <w:rFonts w:cs="Times New Roman"/>
      </w:rPr>
    </w:lvl>
    <w:lvl w:ilvl="8" w:tplc="0405001B">
      <w:start w:val="1"/>
      <w:numFmt w:val="lowerRoman"/>
      <w:lvlText w:val="%9."/>
      <w:lvlJc w:val="right"/>
      <w:pPr>
        <w:ind w:left="7950" w:hanging="180"/>
      </w:pPr>
      <w:rPr>
        <w:rFonts w:cs="Times New Roman"/>
      </w:rPr>
    </w:lvl>
  </w:abstractNum>
  <w:abstractNum w:abstractNumId="26" w15:restartNumberingAfterBreak="0">
    <w:nsid w:val="755A43C4"/>
    <w:multiLevelType w:val="hybridMultilevel"/>
    <w:tmpl w:val="F8BCD3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B9674B9"/>
    <w:multiLevelType w:val="hybridMultilevel"/>
    <w:tmpl w:val="796226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F17643A"/>
    <w:multiLevelType w:val="hybridMultilevel"/>
    <w:tmpl w:val="489AB28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23"/>
  </w:num>
  <w:num w:numId="5">
    <w:abstractNumId w:val="26"/>
  </w:num>
  <w:num w:numId="6">
    <w:abstractNumId w:val="1"/>
  </w:num>
  <w:num w:numId="7">
    <w:abstractNumId w:val="19"/>
  </w:num>
  <w:num w:numId="8">
    <w:abstractNumId w:val="27"/>
  </w:num>
  <w:num w:numId="9">
    <w:abstractNumId w:val="17"/>
  </w:num>
  <w:num w:numId="10">
    <w:abstractNumId w:val="15"/>
  </w:num>
  <w:num w:numId="11">
    <w:abstractNumId w:val="14"/>
  </w:num>
  <w:num w:numId="12">
    <w:abstractNumId w:val="13"/>
  </w:num>
  <w:num w:numId="13">
    <w:abstractNumId w:val="18"/>
  </w:num>
  <w:num w:numId="14">
    <w:abstractNumId w:val="22"/>
  </w:num>
  <w:num w:numId="15">
    <w:abstractNumId w:val="9"/>
  </w:num>
  <w:num w:numId="16">
    <w:abstractNumId w:val="10"/>
  </w:num>
  <w:num w:numId="17">
    <w:abstractNumId w:val="28"/>
  </w:num>
  <w:num w:numId="18">
    <w:abstractNumId w:val="3"/>
  </w:num>
  <w:num w:numId="19">
    <w:abstractNumId w:val="24"/>
  </w:num>
  <w:num w:numId="20">
    <w:abstractNumId w:val="6"/>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 w:numId="23">
    <w:abstractNumId w:val="20"/>
  </w:num>
  <w:num w:numId="24">
    <w:abstractNumId w:val="2"/>
  </w:num>
  <w:num w:numId="25">
    <w:abstractNumId w:val="16"/>
  </w:num>
  <w:num w:numId="26">
    <w:abstractNumId w:val="8"/>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12"/>
  </w:num>
  <w:num w:numId="30">
    <w:abstractNumId w:val="21"/>
  </w:num>
  <w:num w:numId="31">
    <w:abstractNumId w:val="7"/>
  </w:num>
  <w:num w:numId="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83E8B"/>
    <w:rsid w:val="0000408E"/>
    <w:rsid w:val="00013A67"/>
    <w:rsid w:val="0002295C"/>
    <w:rsid w:val="0002674B"/>
    <w:rsid w:val="00032663"/>
    <w:rsid w:val="0004149E"/>
    <w:rsid w:val="00062219"/>
    <w:rsid w:val="0006378C"/>
    <w:rsid w:val="000741B2"/>
    <w:rsid w:val="00077182"/>
    <w:rsid w:val="000849F1"/>
    <w:rsid w:val="00087440"/>
    <w:rsid w:val="00087FF5"/>
    <w:rsid w:val="000966F3"/>
    <w:rsid w:val="000C08D9"/>
    <w:rsid w:val="000C49D7"/>
    <w:rsid w:val="000D639D"/>
    <w:rsid w:val="000E18CB"/>
    <w:rsid w:val="000E2416"/>
    <w:rsid w:val="000F2F48"/>
    <w:rsid w:val="000F5924"/>
    <w:rsid w:val="000F6FF5"/>
    <w:rsid w:val="000F7522"/>
    <w:rsid w:val="00105805"/>
    <w:rsid w:val="0011638E"/>
    <w:rsid w:val="00133128"/>
    <w:rsid w:val="00146B17"/>
    <w:rsid w:val="001616CC"/>
    <w:rsid w:val="0017341F"/>
    <w:rsid w:val="00197D8D"/>
    <w:rsid w:val="001A3231"/>
    <w:rsid w:val="001B1665"/>
    <w:rsid w:val="001B329C"/>
    <w:rsid w:val="001C062F"/>
    <w:rsid w:val="001C193A"/>
    <w:rsid w:val="001D1501"/>
    <w:rsid w:val="001D60C3"/>
    <w:rsid w:val="001E4428"/>
    <w:rsid w:val="001E7F9B"/>
    <w:rsid w:val="001F4E61"/>
    <w:rsid w:val="001F6974"/>
    <w:rsid w:val="001F70E3"/>
    <w:rsid w:val="00205203"/>
    <w:rsid w:val="002074B4"/>
    <w:rsid w:val="00212F35"/>
    <w:rsid w:val="00213BF8"/>
    <w:rsid w:val="0022216A"/>
    <w:rsid w:val="00227009"/>
    <w:rsid w:val="002403B4"/>
    <w:rsid w:val="00241093"/>
    <w:rsid w:val="00242724"/>
    <w:rsid w:val="00245457"/>
    <w:rsid w:val="00246E71"/>
    <w:rsid w:val="002568B7"/>
    <w:rsid w:val="00256A7E"/>
    <w:rsid w:val="00265B6B"/>
    <w:rsid w:val="002661AF"/>
    <w:rsid w:val="00266DB4"/>
    <w:rsid w:val="00274D62"/>
    <w:rsid w:val="002755C8"/>
    <w:rsid w:val="00283E8B"/>
    <w:rsid w:val="0028434F"/>
    <w:rsid w:val="00286790"/>
    <w:rsid w:val="0029180B"/>
    <w:rsid w:val="002A53DA"/>
    <w:rsid w:val="002A7C49"/>
    <w:rsid w:val="002B299A"/>
    <w:rsid w:val="002B585D"/>
    <w:rsid w:val="002C6025"/>
    <w:rsid w:val="002D46E2"/>
    <w:rsid w:val="002D5733"/>
    <w:rsid w:val="002E3C15"/>
    <w:rsid w:val="002E7038"/>
    <w:rsid w:val="002F138B"/>
    <w:rsid w:val="00303FE6"/>
    <w:rsid w:val="003343E2"/>
    <w:rsid w:val="00343C9B"/>
    <w:rsid w:val="0034726F"/>
    <w:rsid w:val="00352517"/>
    <w:rsid w:val="00354160"/>
    <w:rsid w:val="00384E2F"/>
    <w:rsid w:val="003873B1"/>
    <w:rsid w:val="00393D83"/>
    <w:rsid w:val="003A1EEF"/>
    <w:rsid w:val="003B233C"/>
    <w:rsid w:val="003B6981"/>
    <w:rsid w:val="003C1B6F"/>
    <w:rsid w:val="003C4632"/>
    <w:rsid w:val="003C49F4"/>
    <w:rsid w:val="003D1551"/>
    <w:rsid w:val="003D238D"/>
    <w:rsid w:val="003D5EFF"/>
    <w:rsid w:val="003D62F8"/>
    <w:rsid w:val="003D767E"/>
    <w:rsid w:val="003E5BF4"/>
    <w:rsid w:val="003E73C8"/>
    <w:rsid w:val="004046D3"/>
    <w:rsid w:val="00405FA0"/>
    <w:rsid w:val="00416A83"/>
    <w:rsid w:val="00424FE0"/>
    <w:rsid w:val="00427007"/>
    <w:rsid w:val="004275AD"/>
    <w:rsid w:val="00445087"/>
    <w:rsid w:val="00446B32"/>
    <w:rsid w:val="004510F5"/>
    <w:rsid w:val="00460DD3"/>
    <w:rsid w:val="00463232"/>
    <w:rsid w:val="00471499"/>
    <w:rsid w:val="00471993"/>
    <w:rsid w:val="00480F37"/>
    <w:rsid w:val="00485B04"/>
    <w:rsid w:val="0048671C"/>
    <w:rsid w:val="004929A7"/>
    <w:rsid w:val="004B0BE0"/>
    <w:rsid w:val="004B1F0E"/>
    <w:rsid w:val="004D3284"/>
    <w:rsid w:val="004D76C8"/>
    <w:rsid w:val="004E14BC"/>
    <w:rsid w:val="0050550B"/>
    <w:rsid w:val="00515290"/>
    <w:rsid w:val="00517F9D"/>
    <w:rsid w:val="0053144A"/>
    <w:rsid w:val="00542F95"/>
    <w:rsid w:val="00543EF9"/>
    <w:rsid w:val="00546962"/>
    <w:rsid w:val="005500AD"/>
    <w:rsid w:val="00550967"/>
    <w:rsid w:val="005570FA"/>
    <w:rsid w:val="0057164F"/>
    <w:rsid w:val="005718DA"/>
    <w:rsid w:val="00572581"/>
    <w:rsid w:val="005A1641"/>
    <w:rsid w:val="005A7ABA"/>
    <w:rsid w:val="005B2187"/>
    <w:rsid w:val="005B2D60"/>
    <w:rsid w:val="005B388B"/>
    <w:rsid w:val="005D1F94"/>
    <w:rsid w:val="005E02C0"/>
    <w:rsid w:val="005E4D98"/>
    <w:rsid w:val="005E50A8"/>
    <w:rsid w:val="005F08CE"/>
    <w:rsid w:val="005F4BD4"/>
    <w:rsid w:val="00607F84"/>
    <w:rsid w:val="0061734A"/>
    <w:rsid w:val="00626CA1"/>
    <w:rsid w:val="0063110A"/>
    <w:rsid w:val="00631F7A"/>
    <w:rsid w:val="006331D1"/>
    <w:rsid w:val="00633487"/>
    <w:rsid w:val="006463FD"/>
    <w:rsid w:val="006475EB"/>
    <w:rsid w:val="00652023"/>
    <w:rsid w:val="00653A13"/>
    <w:rsid w:val="00655C0C"/>
    <w:rsid w:val="0065779A"/>
    <w:rsid w:val="00660D60"/>
    <w:rsid w:val="00663950"/>
    <w:rsid w:val="00664BEF"/>
    <w:rsid w:val="006862E3"/>
    <w:rsid w:val="0069220F"/>
    <w:rsid w:val="00694098"/>
    <w:rsid w:val="006A0C16"/>
    <w:rsid w:val="006A7EE4"/>
    <w:rsid w:val="006B3FBF"/>
    <w:rsid w:val="006B54C3"/>
    <w:rsid w:val="006B5526"/>
    <w:rsid w:val="006C1445"/>
    <w:rsid w:val="006D00BC"/>
    <w:rsid w:val="006D1A8C"/>
    <w:rsid w:val="006F7E65"/>
    <w:rsid w:val="00702A2E"/>
    <w:rsid w:val="00710A7F"/>
    <w:rsid w:val="007111B1"/>
    <w:rsid w:val="00720B82"/>
    <w:rsid w:val="00750D87"/>
    <w:rsid w:val="00761354"/>
    <w:rsid w:val="00764B23"/>
    <w:rsid w:val="00770F40"/>
    <w:rsid w:val="00771414"/>
    <w:rsid w:val="0077183F"/>
    <w:rsid w:val="00785D83"/>
    <w:rsid w:val="00795EC5"/>
    <w:rsid w:val="00797392"/>
    <w:rsid w:val="007A7148"/>
    <w:rsid w:val="007B5A44"/>
    <w:rsid w:val="007C2AF9"/>
    <w:rsid w:val="007C43C2"/>
    <w:rsid w:val="007E1BA9"/>
    <w:rsid w:val="007E4464"/>
    <w:rsid w:val="007F0C9D"/>
    <w:rsid w:val="007F49AF"/>
    <w:rsid w:val="007F699B"/>
    <w:rsid w:val="00805059"/>
    <w:rsid w:val="0080734D"/>
    <w:rsid w:val="00815833"/>
    <w:rsid w:val="00823124"/>
    <w:rsid w:val="00833DC7"/>
    <w:rsid w:val="00836751"/>
    <w:rsid w:val="00853A8E"/>
    <w:rsid w:val="00863906"/>
    <w:rsid w:val="00896832"/>
    <w:rsid w:val="008A0B46"/>
    <w:rsid w:val="008B01CA"/>
    <w:rsid w:val="008B597F"/>
    <w:rsid w:val="008B780C"/>
    <w:rsid w:val="008C0A21"/>
    <w:rsid w:val="008C6D0F"/>
    <w:rsid w:val="008C6F10"/>
    <w:rsid w:val="008D15E7"/>
    <w:rsid w:val="008D1929"/>
    <w:rsid w:val="008D5008"/>
    <w:rsid w:val="008E4729"/>
    <w:rsid w:val="008F4198"/>
    <w:rsid w:val="008F4DDA"/>
    <w:rsid w:val="00913824"/>
    <w:rsid w:val="00922486"/>
    <w:rsid w:val="00924699"/>
    <w:rsid w:val="009249FC"/>
    <w:rsid w:val="0093037F"/>
    <w:rsid w:val="00931D7B"/>
    <w:rsid w:val="00941529"/>
    <w:rsid w:val="00943A36"/>
    <w:rsid w:val="0094673A"/>
    <w:rsid w:val="009551B4"/>
    <w:rsid w:val="0095583D"/>
    <w:rsid w:val="00956119"/>
    <w:rsid w:val="00956EC9"/>
    <w:rsid w:val="00964123"/>
    <w:rsid w:val="009709A3"/>
    <w:rsid w:val="009948DB"/>
    <w:rsid w:val="0099529D"/>
    <w:rsid w:val="009A7D97"/>
    <w:rsid w:val="009B55DC"/>
    <w:rsid w:val="009B6A17"/>
    <w:rsid w:val="009C0C30"/>
    <w:rsid w:val="009C4EA7"/>
    <w:rsid w:val="009D224E"/>
    <w:rsid w:val="009D7F75"/>
    <w:rsid w:val="009E0083"/>
    <w:rsid w:val="009E084F"/>
    <w:rsid w:val="009E14D2"/>
    <w:rsid w:val="009E40BE"/>
    <w:rsid w:val="009F38A3"/>
    <w:rsid w:val="009F3E47"/>
    <w:rsid w:val="00A1407A"/>
    <w:rsid w:val="00A14961"/>
    <w:rsid w:val="00A14B01"/>
    <w:rsid w:val="00A54A14"/>
    <w:rsid w:val="00A66294"/>
    <w:rsid w:val="00A71758"/>
    <w:rsid w:val="00A737DB"/>
    <w:rsid w:val="00A82F63"/>
    <w:rsid w:val="00AA2609"/>
    <w:rsid w:val="00AA4899"/>
    <w:rsid w:val="00AA612E"/>
    <w:rsid w:val="00AA7F6B"/>
    <w:rsid w:val="00AB38FF"/>
    <w:rsid w:val="00AC2113"/>
    <w:rsid w:val="00AC2FD7"/>
    <w:rsid w:val="00AD377E"/>
    <w:rsid w:val="00AD4C4D"/>
    <w:rsid w:val="00AE0A1C"/>
    <w:rsid w:val="00AF0D05"/>
    <w:rsid w:val="00AF4437"/>
    <w:rsid w:val="00B0089E"/>
    <w:rsid w:val="00B046BE"/>
    <w:rsid w:val="00B108A9"/>
    <w:rsid w:val="00B206DF"/>
    <w:rsid w:val="00B21387"/>
    <w:rsid w:val="00B243CB"/>
    <w:rsid w:val="00B269EF"/>
    <w:rsid w:val="00B26AC7"/>
    <w:rsid w:val="00B301E6"/>
    <w:rsid w:val="00B34DF7"/>
    <w:rsid w:val="00B44D5B"/>
    <w:rsid w:val="00B56E85"/>
    <w:rsid w:val="00B613D2"/>
    <w:rsid w:val="00B77312"/>
    <w:rsid w:val="00B81E23"/>
    <w:rsid w:val="00B9337F"/>
    <w:rsid w:val="00B962E8"/>
    <w:rsid w:val="00BA028C"/>
    <w:rsid w:val="00BC16C5"/>
    <w:rsid w:val="00BD17D5"/>
    <w:rsid w:val="00BD7D72"/>
    <w:rsid w:val="00BE6253"/>
    <w:rsid w:val="00BF75C5"/>
    <w:rsid w:val="00C14FBB"/>
    <w:rsid w:val="00C155FC"/>
    <w:rsid w:val="00C164FB"/>
    <w:rsid w:val="00C21DD8"/>
    <w:rsid w:val="00C26606"/>
    <w:rsid w:val="00C30CC1"/>
    <w:rsid w:val="00C50406"/>
    <w:rsid w:val="00C54B0E"/>
    <w:rsid w:val="00C626FD"/>
    <w:rsid w:val="00C7714F"/>
    <w:rsid w:val="00C83BE3"/>
    <w:rsid w:val="00CA3570"/>
    <w:rsid w:val="00CA6225"/>
    <w:rsid w:val="00CB0322"/>
    <w:rsid w:val="00CC0D20"/>
    <w:rsid w:val="00CC5A59"/>
    <w:rsid w:val="00CC6047"/>
    <w:rsid w:val="00CC6229"/>
    <w:rsid w:val="00CD2E18"/>
    <w:rsid w:val="00CD59E6"/>
    <w:rsid w:val="00CD7954"/>
    <w:rsid w:val="00CE1AD7"/>
    <w:rsid w:val="00D01CE9"/>
    <w:rsid w:val="00D06B0D"/>
    <w:rsid w:val="00D0732F"/>
    <w:rsid w:val="00D076C8"/>
    <w:rsid w:val="00D13967"/>
    <w:rsid w:val="00D157D3"/>
    <w:rsid w:val="00D172EA"/>
    <w:rsid w:val="00D23F1F"/>
    <w:rsid w:val="00D32342"/>
    <w:rsid w:val="00D37284"/>
    <w:rsid w:val="00D416B5"/>
    <w:rsid w:val="00D545EF"/>
    <w:rsid w:val="00D64EE3"/>
    <w:rsid w:val="00D7089E"/>
    <w:rsid w:val="00D7289E"/>
    <w:rsid w:val="00D74830"/>
    <w:rsid w:val="00D7601B"/>
    <w:rsid w:val="00D80AE9"/>
    <w:rsid w:val="00D81264"/>
    <w:rsid w:val="00D8759D"/>
    <w:rsid w:val="00D90FAF"/>
    <w:rsid w:val="00D9349E"/>
    <w:rsid w:val="00D97FDD"/>
    <w:rsid w:val="00DA219B"/>
    <w:rsid w:val="00DA24E5"/>
    <w:rsid w:val="00DA6AC5"/>
    <w:rsid w:val="00DA73D1"/>
    <w:rsid w:val="00DA7E7B"/>
    <w:rsid w:val="00DB0C8D"/>
    <w:rsid w:val="00DB1B8C"/>
    <w:rsid w:val="00DB4622"/>
    <w:rsid w:val="00DB7628"/>
    <w:rsid w:val="00DC5B67"/>
    <w:rsid w:val="00DC6654"/>
    <w:rsid w:val="00DD21F3"/>
    <w:rsid w:val="00DE2A05"/>
    <w:rsid w:val="00DF1889"/>
    <w:rsid w:val="00DF36CF"/>
    <w:rsid w:val="00DF643C"/>
    <w:rsid w:val="00E040D8"/>
    <w:rsid w:val="00E068FC"/>
    <w:rsid w:val="00E1015F"/>
    <w:rsid w:val="00E1586E"/>
    <w:rsid w:val="00E22283"/>
    <w:rsid w:val="00E233A4"/>
    <w:rsid w:val="00E266C1"/>
    <w:rsid w:val="00E37EB3"/>
    <w:rsid w:val="00E41BCF"/>
    <w:rsid w:val="00E426C1"/>
    <w:rsid w:val="00E473E6"/>
    <w:rsid w:val="00E5485E"/>
    <w:rsid w:val="00E57EE5"/>
    <w:rsid w:val="00E6163B"/>
    <w:rsid w:val="00E647A5"/>
    <w:rsid w:val="00E72FE7"/>
    <w:rsid w:val="00EA0BDF"/>
    <w:rsid w:val="00EA3F64"/>
    <w:rsid w:val="00EA46C9"/>
    <w:rsid w:val="00EA5B6B"/>
    <w:rsid w:val="00EB2811"/>
    <w:rsid w:val="00EB55C0"/>
    <w:rsid w:val="00EB7D26"/>
    <w:rsid w:val="00EC1E40"/>
    <w:rsid w:val="00ED3BB5"/>
    <w:rsid w:val="00EE578A"/>
    <w:rsid w:val="00EF1F46"/>
    <w:rsid w:val="00EF4C7B"/>
    <w:rsid w:val="00F0044E"/>
    <w:rsid w:val="00F025AC"/>
    <w:rsid w:val="00F04E41"/>
    <w:rsid w:val="00F07B4F"/>
    <w:rsid w:val="00F32855"/>
    <w:rsid w:val="00F34B38"/>
    <w:rsid w:val="00F41769"/>
    <w:rsid w:val="00F4272A"/>
    <w:rsid w:val="00F507D7"/>
    <w:rsid w:val="00F6734D"/>
    <w:rsid w:val="00F7326A"/>
    <w:rsid w:val="00F7782F"/>
    <w:rsid w:val="00F809FA"/>
    <w:rsid w:val="00F828D8"/>
    <w:rsid w:val="00F86F02"/>
    <w:rsid w:val="00FA0543"/>
    <w:rsid w:val="00FA4314"/>
    <w:rsid w:val="00FB0AF6"/>
    <w:rsid w:val="00FB10D7"/>
    <w:rsid w:val="00FB54C1"/>
    <w:rsid w:val="00FB6C28"/>
    <w:rsid w:val="00FC285F"/>
    <w:rsid w:val="00FC32EE"/>
    <w:rsid w:val="00FD1E6A"/>
    <w:rsid w:val="00FE1C1B"/>
    <w:rsid w:val="00FE588D"/>
    <w:rsid w:val="00FE6699"/>
    <w:rsid w:val="00FF094A"/>
    <w:rsid w:val="00FF5692"/>
    <w:rsid w:val="00FF63EA"/>
    <w:rsid w:val="00FF6A0F"/>
    <w:rsid w:val="00FF701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1E99D3"/>
  <w15:docId w15:val="{2954DA9F-D550-4459-848A-6D8FAA5A3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D17D5"/>
    <w:pPr>
      <w:spacing w:line="240" w:lineRule="auto"/>
      <w:jc w:val="both"/>
    </w:pPr>
    <w:rPr>
      <w:rFonts w:ascii="Times New Roman" w:hAnsi="Times New Roman"/>
      <w:sz w:val="24"/>
    </w:rPr>
  </w:style>
  <w:style w:type="paragraph" w:styleId="Nadpis1">
    <w:name w:val="heading 1"/>
    <w:basedOn w:val="Normln"/>
    <w:next w:val="Normln"/>
    <w:link w:val="Nadpis1Char"/>
    <w:autoRedefine/>
    <w:uiPriority w:val="9"/>
    <w:qFormat/>
    <w:rsid w:val="00E41BCF"/>
    <w:pPr>
      <w:keepNext/>
      <w:keepLines/>
      <w:numPr>
        <w:numId w:val="1"/>
      </w:numPr>
      <w:pBdr>
        <w:top w:val="single" w:sz="4" w:space="1" w:color="auto"/>
        <w:left w:val="single" w:sz="4" w:space="4" w:color="auto"/>
        <w:bottom w:val="single" w:sz="4" w:space="1" w:color="auto"/>
        <w:right w:val="single" w:sz="4" w:space="4" w:color="auto"/>
      </w:pBdr>
      <w:shd w:val="clear" w:color="auto" w:fill="DAEEF3" w:themeFill="accent5" w:themeFillTint="33"/>
      <w:spacing w:before="360" w:after="120"/>
      <w:outlineLvl w:val="0"/>
    </w:pPr>
    <w:rPr>
      <w:rFonts w:eastAsiaTheme="majorEastAsia" w:cstheme="majorBidi"/>
      <w:b/>
      <w:bCs/>
      <w:caps/>
      <w:sz w:val="28"/>
      <w:szCs w:val="28"/>
    </w:rPr>
  </w:style>
  <w:style w:type="paragraph" w:styleId="Nadpis2">
    <w:name w:val="heading 2"/>
    <w:basedOn w:val="Normln"/>
    <w:next w:val="Normln"/>
    <w:link w:val="Nadpis2Char"/>
    <w:autoRedefine/>
    <w:uiPriority w:val="9"/>
    <w:unhideWhenUsed/>
    <w:qFormat/>
    <w:rsid w:val="00D23F1F"/>
    <w:pPr>
      <w:keepNext/>
      <w:keepLines/>
      <w:numPr>
        <w:ilvl w:val="1"/>
        <w:numId w:val="1"/>
      </w:numPr>
      <w:spacing w:before="240" w:after="120"/>
      <w:outlineLvl w:val="1"/>
    </w:pPr>
    <w:rPr>
      <w:rFonts w:eastAsiaTheme="majorEastAsia" w:cstheme="majorBidi"/>
      <w:b/>
      <w:bCs/>
      <w:szCs w:val="26"/>
    </w:rPr>
  </w:style>
  <w:style w:type="paragraph" w:styleId="Nadpis3">
    <w:name w:val="heading 3"/>
    <w:basedOn w:val="Normln"/>
    <w:next w:val="Normln"/>
    <w:link w:val="Nadpis3Char"/>
    <w:autoRedefine/>
    <w:uiPriority w:val="9"/>
    <w:unhideWhenUsed/>
    <w:qFormat/>
    <w:rsid w:val="00BD17D5"/>
    <w:pPr>
      <w:keepNext/>
      <w:keepLines/>
      <w:numPr>
        <w:ilvl w:val="2"/>
        <w:numId w:val="1"/>
      </w:numPr>
      <w:spacing w:after="120"/>
      <w:outlineLvl w:val="2"/>
    </w:pPr>
    <w:rPr>
      <w:rFonts w:eastAsiaTheme="majorEastAsia" w:cstheme="majorBidi"/>
      <w:b/>
      <w:bCs/>
      <w:i/>
    </w:rPr>
  </w:style>
  <w:style w:type="paragraph" w:styleId="Nadpis4">
    <w:name w:val="heading 4"/>
    <w:basedOn w:val="Normln"/>
    <w:next w:val="Normln"/>
    <w:link w:val="Nadpis4Char"/>
    <w:uiPriority w:val="9"/>
    <w:semiHidden/>
    <w:unhideWhenUsed/>
    <w:qFormat/>
    <w:rsid w:val="00BD17D5"/>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BD17D5"/>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BD17D5"/>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BD17D5"/>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BD17D5"/>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BD17D5"/>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41BCF"/>
    <w:rPr>
      <w:rFonts w:ascii="Times New Roman" w:eastAsiaTheme="majorEastAsia" w:hAnsi="Times New Roman" w:cstheme="majorBidi"/>
      <w:b/>
      <w:bCs/>
      <w:caps/>
      <w:sz w:val="28"/>
      <w:szCs w:val="28"/>
      <w:shd w:val="clear" w:color="auto" w:fill="DAEEF3" w:themeFill="accent5" w:themeFillTint="33"/>
    </w:rPr>
  </w:style>
  <w:style w:type="character" w:customStyle="1" w:styleId="Nadpis2Char">
    <w:name w:val="Nadpis 2 Char"/>
    <w:basedOn w:val="Standardnpsmoodstavce"/>
    <w:link w:val="Nadpis2"/>
    <w:uiPriority w:val="9"/>
    <w:rsid w:val="00D23F1F"/>
    <w:rPr>
      <w:rFonts w:ascii="Times New Roman" w:eastAsiaTheme="majorEastAsia" w:hAnsi="Times New Roman" w:cstheme="majorBidi"/>
      <w:b/>
      <w:bCs/>
      <w:sz w:val="24"/>
      <w:szCs w:val="26"/>
    </w:rPr>
  </w:style>
  <w:style w:type="character" w:customStyle="1" w:styleId="Nadpis3Char">
    <w:name w:val="Nadpis 3 Char"/>
    <w:basedOn w:val="Standardnpsmoodstavce"/>
    <w:link w:val="Nadpis3"/>
    <w:uiPriority w:val="9"/>
    <w:rsid w:val="00BD17D5"/>
    <w:rPr>
      <w:rFonts w:ascii="Times New Roman" w:eastAsiaTheme="majorEastAsia" w:hAnsi="Times New Roman" w:cstheme="majorBidi"/>
      <w:b/>
      <w:bCs/>
      <w:i/>
      <w:sz w:val="24"/>
    </w:rPr>
  </w:style>
  <w:style w:type="character" w:customStyle="1" w:styleId="Nadpis4Char">
    <w:name w:val="Nadpis 4 Char"/>
    <w:basedOn w:val="Standardnpsmoodstavce"/>
    <w:link w:val="Nadpis4"/>
    <w:uiPriority w:val="9"/>
    <w:semiHidden/>
    <w:rsid w:val="00BD17D5"/>
    <w:rPr>
      <w:rFonts w:asciiTheme="majorHAnsi" w:eastAsiaTheme="majorEastAsia" w:hAnsiTheme="majorHAnsi" w:cstheme="majorBidi"/>
      <w:b/>
      <w:bCs/>
      <w:i/>
      <w:iCs/>
      <w:color w:val="4F81BD" w:themeColor="accent1"/>
      <w:sz w:val="24"/>
    </w:rPr>
  </w:style>
  <w:style w:type="character" w:customStyle="1" w:styleId="Nadpis5Char">
    <w:name w:val="Nadpis 5 Char"/>
    <w:basedOn w:val="Standardnpsmoodstavce"/>
    <w:link w:val="Nadpis5"/>
    <w:uiPriority w:val="9"/>
    <w:semiHidden/>
    <w:rsid w:val="00BD17D5"/>
    <w:rPr>
      <w:rFonts w:asciiTheme="majorHAnsi" w:eastAsiaTheme="majorEastAsia" w:hAnsiTheme="majorHAnsi" w:cstheme="majorBidi"/>
      <w:color w:val="243F60" w:themeColor="accent1" w:themeShade="7F"/>
      <w:sz w:val="24"/>
    </w:rPr>
  </w:style>
  <w:style w:type="character" w:customStyle="1" w:styleId="Nadpis6Char">
    <w:name w:val="Nadpis 6 Char"/>
    <w:basedOn w:val="Standardnpsmoodstavce"/>
    <w:link w:val="Nadpis6"/>
    <w:uiPriority w:val="9"/>
    <w:semiHidden/>
    <w:rsid w:val="00BD17D5"/>
    <w:rPr>
      <w:rFonts w:asciiTheme="majorHAnsi" w:eastAsiaTheme="majorEastAsia" w:hAnsiTheme="majorHAnsi" w:cstheme="majorBidi"/>
      <w:i/>
      <w:iCs/>
      <w:color w:val="243F60" w:themeColor="accent1" w:themeShade="7F"/>
      <w:sz w:val="24"/>
    </w:rPr>
  </w:style>
  <w:style w:type="character" w:customStyle="1" w:styleId="Nadpis7Char">
    <w:name w:val="Nadpis 7 Char"/>
    <w:basedOn w:val="Standardnpsmoodstavce"/>
    <w:link w:val="Nadpis7"/>
    <w:uiPriority w:val="9"/>
    <w:semiHidden/>
    <w:rsid w:val="00BD17D5"/>
    <w:rPr>
      <w:rFonts w:asciiTheme="majorHAnsi" w:eastAsiaTheme="majorEastAsia" w:hAnsiTheme="majorHAnsi" w:cstheme="majorBidi"/>
      <w:i/>
      <w:iCs/>
      <w:color w:val="404040" w:themeColor="text1" w:themeTint="BF"/>
      <w:sz w:val="24"/>
    </w:rPr>
  </w:style>
  <w:style w:type="character" w:customStyle="1" w:styleId="Nadpis8Char">
    <w:name w:val="Nadpis 8 Char"/>
    <w:basedOn w:val="Standardnpsmoodstavce"/>
    <w:link w:val="Nadpis8"/>
    <w:uiPriority w:val="9"/>
    <w:semiHidden/>
    <w:rsid w:val="00BD17D5"/>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BD17D5"/>
    <w:rPr>
      <w:rFonts w:asciiTheme="majorHAnsi" w:eastAsiaTheme="majorEastAsia" w:hAnsiTheme="majorHAnsi" w:cstheme="majorBidi"/>
      <w:i/>
      <w:iCs/>
      <w:color w:val="404040" w:themeColor="text1" w:themeTint="BF"/>
      <w:sz w:val="20"/>
      <w:szCs w:val="20"/>
    </w:rPr>
  </w:style>
  <w:style w:type="paragraph" w:customStyle="1" w:styleId="Textvtabulce">
    <w:name w:val="Text v tabulce"/>
    <w:basedOn w:val="Normln"/>
    <w:autoRedefine/>
    <w:qFormat/>
    <w:rsid w:val="00133128"/>
    <w:pPr>
      <w:spacing w:before="60" w:after="60"/>
    </w:pPr>
    <w:rPr>
      <w:rFonts w:cs="Tahoma"/>
      <w:szCs w:val="24"/>
    </w:rPr>
  </w:style>
  <w:style w:type="paragraph" w:customStyle="1" w:styleId="Textvtabulcezvraznn">
    <w:name w:val="Text v tabulce zvýrazněný"/>
    <w:basedOn w:val="Textvtabulce"/>
    <w:qFormat/>
    <w:rsid w:val="00077182"/>
    <w:rPr>
      <w:b/>
    </w:rPr>
  </w:style>
  <w:style w:type="paragraph" w:customStyle="1" w:styleId="Koment">
    <w:name w:val="Komentář"/>
    <w:basedOn w:val="Normln"/>
    <w:autoRedefine/>
    <w:qFormat/>
    <w:rsid w:val="003E73C8"/>
    <w:pPr>
      <w:spacing w:after="0"/>
    </w:pPr>
    <w:rPr>
      <w:i/>
      <w:color w:val="FF0000"/>
      <w:sz w:val="20"/>
    </w:rPr>
  </w:style>
  <w:style w:type="paragraph" w:styleId="Zhlav">
    <w:name w:val="header"/>
    <w:basedOn w:val="Normln"/>
    <w:link w:val="ZhlavChar"/>
    <w:uiPriority w:val="99"/>
    <w:unhideWhenUsed/>
    <w:rsid w:val="009F38A3"/>
    <w:pPr>
      <w:tabs>
        <w:tab w:val="center" w:pos="4536"/>
        <w:tab w:val="right" w:pos="9072"/>
      </w:tabs>
      <w:spacing w:after="0"/>
    </w:pPr>
  </w:style>
  <w:style w:type="character" w:customStyle="1" w:styleId="ZhlavChar">
    <w:name w:val="Záhlaví Char"/>
    <w:basedOn w:val="Standardnpsmoodstavce"/>
    <w:link w:val="Zhlav"/>
    <w:uiPriority w:val="99"/>
    <w:rsid w:val="009F38A3"/>
    <w:rPr>
      <w:rFonts w:ascii="Times New Roman" w:hAnsi="Times New Roman"/>
      <w:sz w:val="24"/>
    </w:rPr>
  </w:style>
  <w:style w:type="paragraph" w:styleId="Zpat">
    <w:name w:val="footer"/>
    <w:basedOn w:val="Normln"/>
    <w:link w:val="ZpatChar"/>
    <w:uiPriority w:val="99"/>
    <w:unhideWhenUsed/>
    <w:rsid w:val="009F38A3"/>
    <w:pPr>
      <w:tabs>
        <w:tab w:val="center" w:pos="4536"/>
        <w:tab w:val="right" w:pos="9072"/>
      </w:tabs>
      <w:spacing w:after="0"/>
    </w:pPr>
  </w:style>
  <w:style w:type="character" w:customStyle="1" w:styleId="ZpatChar">
    <w:name w:val="Zápatí Char"/>
    <w:basedOn w:val="Standardnpsmoodstavce"/>
    <w:link w:val="Zpat"/>
    <w:uiPriority w:val="99"/>
    <w:rsid w:val="009F38A3"/>
    <w:rPr>
      <w:rFonts w:ascii="Times New Roman" w:hAnsi="Times New Roman"/>
      <w:sz w:val="24"/>
    </w:rPr>
  </w:style>
  <w:style w:type="paragraph" w:styleId="Odstavecseseznamem">
    <w:name w:val="List Paragraph"/>
    <w:basedOn w:val="Normln"/>
    <w:uiPriority w:val="99"/>
    <w:qFormat/>
    <w:rsid w:val="00D01CE9"/>
    <w:pPr>
      <w:suppressAutoHyphens/>
      <w:spacing w:after="0"/>
      <w:ind w:left="708"/>
      <w:jc w:val="left"/>
    </w:pPr>
    <w:rPr>
      <w:rFonts w:eastAsia="Times New Roman" w:cs="Times New Roman"/>
      <w:szCs w:val="24"/>
      <w:lang w:eastAsia="zh-CN"/>
    </w:rPr>
  </w:style>
  <w:style w:type="character" w:styleId="Odkazjemn">
    <w:name w:val="Subtle Reference"/>
    <w:basedOn w:val="Standardnpsmoodstavce"/>
    <w:uiPriority w:val="31"/>
    <w:qFormat/>
    <w:rsid w:val="0093037F"/>
    <w:rPr>
      <w:smallCaps/>
      <w:color w:val="C0504D" w:themeColor="accent2"/>
      <w:u w:val="single"/>
    </w:rPr>
  </w:style>
  <w:style w:type="table" w:styleId="Mkatabulky">
    <w:name w:val="Table Grid"/>
    <w:basedOn w:val="Normlntabulka"/>
    <w:uiPriority w:val="59"/>
    <w:rsid w:val="00D760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D7601B"/>
    <w:rPr>
      <w:color w:val="0000FF" w:themeColor="hyperlink"/>
      <w:u w:val="single"/>
    </w:rPr>
  </w:style>
  <w:style w:type="paragraph" w:styleId="Obsah2">
    <w:name w:val="toc 2"/>
    <w:basedOn w:val="Normln"/>
    <w:next w:val="Normln"/>
    <w:autoRedefine/>
    <w:uiPriority w:val="39"/>
    <w:unhideWhenUsed/>
    <w:rsid w:val="00833DC7"/>
    <w:pPr>
      <w:spacing w:after="100"/>
      <w:ind w:left="680"/>
    </w:pPr>
    <w:rPr>
      <w:sz w:val="20"/>
    </w:rPr>
  </w:style>
  <w:style w:type="paragraph" w:styleId="Obsah1">
    <w:name w:val="toc 1"/>
    <w:basedOn w:val="Normln"/>
    <w:next w:val="Normln"/>
    <w:autoRedefine/>
    <w:uiPriority w:val="39"/>
    <w:unhideWhenUsed/>
    <w:rsid w:val="00833DC7"/>
    <w:pPr>
      <w:tabs>
        <w:tab w:val="left" w:pos="660"/>
        <w:tab w:val="right" w:leader="dot" w:pos="9062"/>
      </w:tabs>
      <w:spacing w:after="100"/>
    </w:pPr>
    <w:rPr>
      <w:b/>
      <w:sz w:val="20"/>
    </w:rPr>
  </w:style>
  <w:style w:type="paragraph" w:styleId="Obsah3">
    <w:name w:val="toc 3"/>
    <w:basedOn w:val="Normln"/>
    <w:next w:val="Normln"/>
    <w:autoRedefine/>
    <w:uiPriority w:val="39"/>
    <w:semiHidden/>
    <w:unhideWhenUsed/>
    <w:rsid w:val="00AB38FF"/>
    <w:pPr>
      <w:spacing w:after="100"/>
    </w:pPr>
    <w:rPr>
      <w:i/>
    </w:rPr>
  </w:style>
  <w:style w:type="character" w:styleId="Sledovanodkaz">
    <w:name w:val="FollowedHyperlink"/>
    <w:basedOn w:val="Standardnpsmoodstavce"/>
    <w:uiPriority w:val="99"/>
    <w:semiHidden/>
    <w:unhideWhenUsed/>
    <w:rsid w:val="00C164FB"/>
    <w:rPr>
      <w:color w:val="800080" w:themeColor="followedHyperlink"/>
      <w:u w:val="single"/>
    </w:rPr>
  </w:style>
  <w:style w:type="paragraph" w:customStyle="1" w:styleId="Default">
    <w:name w:val="Default"/>
    <w:rsid w:val="004B1F0E"/>
    <w:pPr>
      <w:autoSpaceDE w:val="0"/>
      <w:autoSpaceDN w:val="0"/>
      <w:adjustRightInd w:val="0"/>
      <w:spacing w:after="0" w:line="240" w:lineRule="auto"/>
    </w:pPr>
    <w:rPr>
      <w:rFonts w:ascii="Arial" w:hAnsi="Arial" w:cs="Arial"/>
      <w:color w:val="000000"/>
      <w:sz w:val="24"/>
      <w:szCs w:val="24"/>
    </w:rPr>
  </w:style>
  <w:style w:type="character" w:styleId="Odkaznakoment">
    <w:name w:val="annotation reference"/>
    <w:basedOn w:val="Standardnpsmoodstavce"/>
    <w:uiPriority w:val="99"/>
    <w:semiHidden/>
    <w:unhideWhenUsed/>
    <w:rsid w:val="00FE6699"/>
    <w:rPr>
      <w:sz w:val="16"/>
      <w:szCs w:val="16"/>
    </w:rPr>
  </w:style>
  <w:style w:type="paragraph" w:styleId="Textkomente">
    <w:name w:val="annotation text"/>
    <w:basedOn w:val="Normln"/>
    <w:link w:val="TextkomenteChar"/>
    <w:uiPriority w:val="99"/>
    <w:unhideWhenUsed/>
    <w:rsid w:val="00FE6699"/>
    <w:rPr>
      <w:sz w:val="20"/>
      <w:szCs w:val="20"/>
    </w:rPr>
  </w:style>
  <w:style w:type="character" w:customStyle="1" w:styleId="TextkomenteChar">
    <w:name w:val="Text komentáře Char"/>
    <w:basedOn w:val="Standardnpsmoodstavce"/>
    <w:link w:val="Textkomente"/>
    <w:uiPriority w:val="99"/>
    <w:rsid w:val="00FE6699"/>
    <w:rPr>
      <w:rFonts w:ascii="Times New Roman" w:hAnsi="Times New Roman"/>
      <w:sz w:val="20"/>
      <w:szCs w:val="20"/>
    </w:rPr>
  </w:style>
  <w:style w:type="paragraph" w:styleId="Pedmtkomente">
    <w:name w:val="annotation subject"/>
    <w:basedOn w:val="Textkomente"/>
    <w:next w:val="Textkomente"/>
    <w:link w:val="PedmtkomenteChar"/>
    <w:uiPriority w:val="99"/>
    <w:semiHidden/>
    <w:unhideWhenUsed/>
    <w:rsid w:val="00FE6699"/>
    <w:rPr>
      <w:b/>
      <w:bCs/>
    </w:rPr>
  </w:style>
  <w:style w:type="character" w:customStyle="1" w:styleId="PedmtkomenteChar">
    <w:name w:val="Předmět komentáře Char"/>
    <w:basedOn w:val="TextkomenteChar"/>
    <w:link w:val="Pedmtkomente"/>
    <w:uiPriority w:val="99"/>
    <w:semiHidden/>
    <w:rsid w:val="00FE6699"/>
    <w:rPr>
      <w:rFonts w:ascii="Times New Roman" w:hAnsi="Times New Roman"/>
      <w:b/>
      <w:bCs/>
      <w:sz w:val="20"/>
      <w:szCs w:val="20"/>
    </w:rPr>
  </w:style>
  <w:style w:type="paragraph" w:styleId="Textbubliny">
    <w:name w:val="Balloon Text"/>
    <w:basedOn w:val="Normln"/>
    <w:link w:val="TextbublinyChar"/>
    <w:uiPriority w:val="99"/>
    <w:semiHidden/>
    <w:unhideWhenUsed/>
    <w:rsid w:val="00FE669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E669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1395847">
      <w:bodyDiv w:val="1"/>
      <w:marLeft w:val="0"/>
      <w:marRight w:val="0"/>
      <w:marTop w:val="0"/>
      <w:marBottom w:val="0"/>
      <w:divBdr>
        <w:top w:val="none" w:sz="0" w:space="0" w:color="auto"/>
        <w:left w:val="none" w:sz="0" w:space="0" w:color="auto"/>
        <w:bottom w:val="none" w:sz="0" w:space="0" w:color="auto"/>
        <w:right w:val="none" w:sz="0" w:space="0" w:color="auto"/>
      </w:divBdr>
    </w:div>
    <w:div w:id="1743329166">
      <w:bodyDiv w:val="1"/>
      <w:marLeft w:val="0"/>
      <w:marRight w:val="0"/>
      <w:marTop w:val="100"/>
      <w:marBottom w:val="100"/>
      <w:divBdr>
        <w:top w:val="none" w:sz="0" w:space="0" w:color="auto"/>
        <w:left w:val="none" w:sz="0" w:space="0" w:color="auto"/>
        <w:bottom w:val="none" w:sz="0" w:space="0" w:color="auto"/>
        <w:right w:val="none" w:sz="0" w:space="0" w:color="auto"/>
      </w:divBdr>
      <w:divsChild>
        <w:div w:id="2062246154">
          <w:marLeft w:val="0"/>
          <w:marRight w:val="0"/>
          <w:marTop w:val="0"/>
          <w:marBottom w:val="0"/>
          <w:divBdr>
            <w:top w:val="none" w:sz="0" w:space="0" w:color="auto"/>
            <w:left w:val="none" w:sz="0" w:space="0" w:color="auto"/>
            <w:bottom w:val="none" w:sz="0" w:space="0" w:color="auto"/>
            <w:right w:val="none" w:sz="0" w:space="0" w:color="auto"/>
          </w:divBdr>
          <w:divsChild>
            <w:div w:id="508717273">
              <w:marLeft w:val="3225"/>
              <w:marRight w:val="0"/>
              <w:marTop w:val="0"/>
              <w:marBottom w:val="0"/>
              <w:divBdr>
                <w:top w:val="none" w:sz="0" w:space="0" w:color="auto"/>
                <w:left w:val="none" w:sz="0" w:space="0" w:color="auto"/>
                <w:bottom w:val="none" w:sz="0" w:space="0" w:color="auto"/>
                <w:right w:val="none" w:sz="0" w:space="0" w:color="auto"/>
              </w:divBdr>
              <w:divsChild>
                <w:div w:id="934215901">
                  <w:marLeft w:val="0"/>
                  <w:marRight w:val="0"/>
                  <w:marTop w:val="0"/>
                  <w:marBottom w:val="0"/>
                  <w:divBdr>
                    <w:top w:val="none" w:sz="0" w:space="0" w:color="auto"/>
                    <w:left w:val="none" w:sz="0" w:space="0" w:color="auto"/>
                    <w:bottom w:val="none" w:sz="0" w:space="0" w:color="auto"/>
                    <w:right w:val="none" w:sz="0" w:space="0" w:color="auto"/>
                  </w:divBdr>
                  <w:divsChild>
                    <w:div w:id="1541430723">
                      <w:marLeft w:val="0"/>
                      <w:marRight w:val="0"/>
                      <w:marTop w:val="0"/>
                      <w:marBottom w:val="0"/>
                      <w:divBdr>
                        <w:top w:val="none" w:sz="0" w:space="0" w:color="auto"/>
                        <w:left w:val="none" w:sz="0" w:space="0" w:color="auto"/>
                        <w:bottom w:val="none" w:sz="0" w:space="0" w:color="auto"/>
                        <w:right w:val="none" w:sz="0" w:space="0" w:color="auto"/>
                      </w:divBdr>
                      <w:divsChild>
                        <w:div w:id="1738940551">
                          <w:marLeft w:val="0"/>
                          <w:marRight w:val="0"/>
                          <w:marTop w:val="0"/>
                          <w:marBottom w:val="0"/>
                          <w:divBdr>
                            <w:top w:val="none" w:sz="0" w:space="0" w:color="auto"/>
                            <w:left w:val="none" w:sz="0" w:space="0" w:color="auto"/>
                            <w:bottom w:val="none" w:sz="0" w:space="0" w:color="auto"/>
                            <w:right w:val="none" w:sz="0" w:space="0" w:color="auto"/>
                          </w:divBdr>
                          <w:divsChild>
                            <w:div w:id="2062943552">
                              <w:marLeft w:val="0"/>
                              <w:marRight w:val="0"/>
                              <w:marTop w:val="0"/>
                              <w:marBottom w:val="0"/>
                              <w:divBdr>
                                <w:top w:val="none" w:sz="0" w:space="0" w:color="auto"/>
                                <w:left w:val="none" w:sz="0" w:space="0" w:color="auto"/>
                                <w:bottom w:val="none" w:sz="0" w:space="0" w:color="auto"/>
                                <w:right w:val="none" w:sz="0" w:space="0" w:color="auto"/>
                              </w:divBdr>
                              <w:divsChild>
                                <w:div w:id="370424772">
                                  <w:marLeft w:val="0"/>
                                  <w:marRight w:val="0"/>
                                  <w:marTop w:val="0"/>
                                  <w:marBottom w:val="0"/>
                                  <w:divBdr>
                                    <w:top w:val="none" w:sz="0" w:space="0" w:color="auto"/>
                                    <w:left w:val="none" w:sz="0" w:space="0" w:color="auto"/>
                                    <w:bottom w:val="none" w:sz="0" w:space="0" w:color="auto"/>
                                    <w:right w:val="none" w:sz="0" w:space="0" w:color="auto"/>
                                  </w:divBdr>
                                  <w:divsChild>
                                    <w:div w:id="897518243">
                                      <w:marLeft w:val="0"/>
                                      <w:marRight w:val="0"/>
                                      <w:marTop w:val="0"/>
                                      <w:marBottom w:val="0"/>
                                      <w:divBdr>
                                        <w:top w:val="single" w:sz="2" w:space="2" w:color="auto"/>
                                        <w:left w:val="single" w:sz="2" w:space="2" w:color="auto"/>
                                        <w:bottom w:val="single" w:sz="2" w:space="2" w:color="auto"/>
                                        <w:right w:val="single" w:sz="2" w:space="2"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CB631C-FCE0-4E60-8552-574614687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9</Pages>
  <Words>2580</Words>
  <Characters>15222</Characters>
  <Application>Microsoft Office Word</Application>
  <DocSecurity>0</DocSecurity>
  <Lines>126</Lines>
  <Paragraphs>35</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17767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Žabenský</dc:creator>
  <cp:lastModifiedBy>KAROLAS</cp:lastModifiedBy>
  <cp:revision>25</cp:revision>
  <dcterms:created xsi:type="dcterms:W3CDTF">2019-03-07T13:27:00Z</dcterms:created>
  <dcterms:modified xsi:type="dcterms:W3CDTF">2019-06-20T11:43:00Z</dcterms:modified>
</cp:coreProperties>
</file>