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A80F72" w:rsidRDefault="00A80F72" w:rsidP="003C6092">
                            <w:pPr>
                              <w:pStyle w:val="Default"/>
                              <w:rPr>
                                <w:sz w:val="18"/>
                                <w:szCs w:val="18"/>
                              </w:rPr>
                            </w:pPr>
                          </w:p>
                          <w:p w:rsidR="00A80F72" w:rsidRDefault="00A80F7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A80F72" w:rsidRDefault="00A80F72" w:rsidP="003C6092">
                      <w:pPr>
                        <w:pStyle w:val="Default"/>
                        <w:rPr>
                          <w:sz w:val="18"/>
                          <w:szCs w:val="18"/>
                        </w:rPr>
                      </w:pPr>
                    </w:p>
                    <w:p w:rsidR="00A80F72" w:rsidRDefault="00A80F7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886F28">
        <w:rPr>
          <w:iCs/>
        </w:rPr>
        <w:t>Mgr. Zdeněk Dvořák, MPA,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EB7AC0" w:rsidRDefault="003C6092" w:rsidP="00EB7AC0">
      <w:pPr>
        <w:pStyle w:val="Textodst1sl"/>
        <w:numPr>
          <w:ilvl w:val="1"/>
          <w:numId w:val="15"/>
        </w:numPr>
        <w:rPr>
          <w:sz w:val="22"/>
          <w:szCs w:val="22"/>
        </w:rPr>
      </w:pPr>
      <w:r w:rsidRPr="00EB7AC0">
        <w:rPr>
          <w:sz w:val="22"/>
          <w:szCs w:val="22"/>
        </w:rPr>
        <w:t>Předmětem Smlouvy je provedení a dokončení stavebních prací „</w:t>
      </w:r>
      <w:r w:rsidR="00677F66" w:rsidRPr="00677F66">
        <w:rPr>
          <w:b/>
        </w:rPr>
        <w:t>III/33725 Vrdy</w:t>
      </w:r>
      <w:r w:rsidRPr="00EB7AC0">
        <w:rPr>
          <w:sz w:val="22"/>
          <w:szCs w:val="22"/>
        </w:rPr>
        <w:t>“, a to v následujícím rozsahu:</w:t>
      </w:r>
    </w:p>
    <w:p w:rsidR="00334AAD" w:rsidRPr="00BB308B" w:rsidRDefault="00334AAD" w:rsidP="00334AAD">
      <w:pPr>
        <w:pStyle w:val="Textodst1sl"/>
        <w:numPr>
          <w:ilvl w:val="0"/>
          <w:numId w:val="0"/>
        </w:numPr>
        <w:ind w:left="1430"/>
        <w:rPr>
          <w:sz w:val="22"/>
          <w:szCs w:val="22"/>
        </w:rPr>
      </w:pPr>
    </w:p>
    <w:p w:rsidR="00C95840" w:rsidRDefault="00677F66" w:rsidP="00677F66">
      <w:pPr>
        <w:pStyle w:val="Textodst3psmena"/>
        <w:rPr>
          <w:sz w:val="22"/>
          <w:szCs w:val="22"/>
        </w:rPr>
      </w:pPr>
      <w:r w:rsidRPr="00677F66">
        <w:rPr>
          <w:sz w:val="22"/>
          <w:szCs w:val="22"/>
        </w:rPr>
        <w:t>Před započetím prací bude podán návrh na projednání DIO včetně realizace. Odfrézování stávajícího živičného krytu v tl. do 50 mm, provedení očištění, výšková úprava znaků inž. sítí, spojovací postřik a pokládka ABS v tl. 50 mm. Zalévání spár asfaltovou zálivkou.</w:t>
      </w:r>
      <w:r w:rsidR="00E96367" w:rsidRPr="00677F66">
        <w:rPr>
          <w:sz w:val="22"/>
          <w:szCs w:val="22"/>
        </w:rPr>
        <w:t>.</w:t>
      </w:r>
    </w:p>
    <w:p w:rsidR="00E96367" w:rsidRPr="00E96367" w:rsidRDefault="00E96367" w:rsidP="00C95840">
      <w:pPr>
        <w:pStyle w:val="Textodst3psmena"/>
        <w:numPr>
          <w:ilvl w:val="0"/>
          <w:numId w:val="0"/>
        </w:numPr>
        <w:ind w:left="1416"/>
        <w:rPr>
          <w:sz w:val="22"/>
          <w:szCs w:val="22"/>
        </w:rPr>
      </w:pPr>
      <w:r w:rsidRPr="00E96367">
        <w:rPr>
          <w:sz w:val="22"/>
          <w:szCs w:val="22"/>
        </w:rPr>
        <w:t xml:space="preserve"> </w:t>
      </w:r>
    </w:p>
    <w:p w:rsidR="00F11BD1" w:rsidRDefault="00F11BD1" w:rsidP="00E96367">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lastRenderedPageBreak/>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lastRenderedPageBreak/>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223503"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BB308B">
        <w:rPr>
          <w:bCs/>
          <w:sz w:val="22"/>
          <w:szCs w:val="22"/>
        </w:rPr>
        <w:t xml:space="preserve">Objednateli </w:t>
      </w:r>
      <w:r w:rsidR="00334AAD">
        <w:rPr>
          <w:b/>
          <w:bCs/>
          <w:sz w:val="22"/>
          <w:szCs w:val="22"/>
        </w:rPr>
        <w:t xml:space="preserve">do </w:t>
      </w:r>
      <w:r w:rsidR="00677F66">
        <w:rPr>
          <w:b/>
          <w:bCs/>
          <w:sz w:val="22"/>
          <w:szCs w:val="22"/>
        </w:rPr>
        <w:t>4</w:t>
      </w:r>
      <w:r w:rsidR="00881163">
        <w:rPr>
          <w:b/>
          <w:bCs/>
          <w:sz w:val="22"/>
          <w:szCs w:val="22"/>
        </w:rPr>
        <w:t xml:space="preserve"> týdnů</w:t>
      </w:r>
      <w:r w:rsidR="002B3EAB" w:rsidRPr="00BB308B">
        <w:rPr>
          <w:bCs/>
          <w:sz w:val="22"/>
          <w:szCs w:val="22"/>
        </w:rPr>
        <w:t xml:space="preserve"> od</w:t>
      </w:r>
      <w:r w:rsidR="002B3EAB">
        <w:rPr>
          <w:bCs/>
          <w:sz w:val="22"/>
          <w:szCs w:val="22"/>
        </w:rPr>
        <w:t xml:space="preserve"> </w:t>
      </w:r>
      <w:r w:rsidR="00223503">
        <w:rPr>
          <w:bCs/>
          <w:sz w:val="22"/>
          <w:szCs w:val="22"/>
        </w:rPr>
        <w:t>předání Staveniště Zhotoviteli.</w:t>
      </w:r>
    </w:p>
    <w:p w:rsidR="00223503" w:rsidRPr="00F441E7"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F11BD1" w:rsidRPr="00F04838" w:rsidRDefault="00CC7957" w:rsidP="00F11BD1">
      <w:pPr>
        <w:pStyle w:val="Textodst1sl"/>
        <w:rPr>
          <w:sz w:val="22"/>
          <w:szCs w:val="22"/>
        </w:rPr>
      </w:pPr>
      <w:r w:rsidRPr="0038024A">
        <w:rPr>
          <w:sz w:val="22"/>
          <w:szCs w:val="22"/>
        </w:rPr>
        <w:t xml:space="preserve">Odpovídající prodloužení termínu provádění Díla, jakož i jednotlivých dílčích termínů, je </w:t>
      </w:r>
      <w:r>
        <w:rPr>
          <w:sz w:val="22"/>
          <w:szCs w:val="22"/>
        </w:rPr>
        <w:t>ve smyslu § 100 odst. 1 zákona č. 134/201</w:t>
      </w:r>
      <w:r w:rsidRPr="0038024A">
        <w:rPr>
          <w:sz w:val="22"/>
          <w:szCs w:val="22"/>
        </w:rPr>
        <w:t xml:space="preserve">6 Sb., o </w:t>
      </w:r>
      <w:r>
        <w:rPr>
          <w:sz w:val="22"/>
          <w:szCs w:val="22"/>
        </w:rPr>
        <w:t xml:space="preserve">zadávání </w:t>
      </w:r>
      <w:r w:rsidRPr="0038024A">
        <w:rPr>
          <w:sz w:val="22"/>
          <w:szCs w:val="22"/>
        </w:rPr>
        <w:t>veřejných zakáz</w:t>
      </w:r>
      <w:r>
        <w:rPr>
          <w:sz w:val="22"/>
          <w:szCs w:val="22"/>
        </w:rPr>
        <w:t>e</w:t>
      </w:r>
      <w:r w:rsidRPr="0038024A">
        <w:rPr>
          <w:sz w:val="22"/>
          <w:szCs w:val="22"/>
        </w:rPr>
        <w:t>k, ve znění pozdějších předpisů (dále jen „</w:t>
      </w:r>
      <w:r w:rsidRPr="00F04838">
        <w:rPr>
          <w:b/>
          <w:sz w:val="22"/>
          <w:szCs w:val="22"/>
        </w:rPr>
        <w:t xml:space="preserve">Zákon </w:t>
      </w:r>
      <w:r w:rsidRPr="002C3826">
        <w:rPr>
          <w:b/>
          <w:sz w:val="22"/>
          <w:szCs w:val="22"/>
        </w:rPr>
        <w:t>o ZVZ“</w:t>
      </w:r>
      <w:r w:rsidRPr="002C3826">
        <w:rPr>
          <w:sz w:val="22"/>
          <w:szCs w:val="22"/>
        </w:rPr>
        <w:t>)</w:t>
      </w:r>
      <w:r>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w:t>
      </w:r>
      <w:r w:rsidRPr="0038024A">
        <w:rPr>
          <w:sz w:val="22"/>
          <w:szCs w:val="22"/>
        </w:rPr>
        <w:lastRenderedPageBreak/>
        <w:t>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Pr="00BB308B"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w:t>
      </w:r>
      <w:r w:rsidRPr="00BB308B">
        <w:rPr>
          <w:sz w:val="22"/>
          <w:szCs w:val="22"/>
        </w:rPr>
        <w:t xml:space="preserve">průběhu realizace Díla mohou vznikat odpady, jejichž původcem bude Zhotovitel, resp. jeho </w:t>
      </w:r>
      <w:r w:rsidR="008E19C9" w:rsidRPr="00BB308B">
        <w:rPr>
          <w:sz w:val="22"/>
          <w:szCs w:val="22"/>
        </w:rPr>
        <w:t>podd</w:t>
      </w:r>
      <w:r w:rsidRPr="00BB308B">
        <w:rPr>
          <w:sz w:val="22"/>
          <w:szCs w:val="22"/>
        </w:rPr>
        <w:t xml:space="preserve">odavatelé. Zhotovitel se </w:t>
      </w:r>
      <w:r w:rsidRPr="00BB308B">
        <w:rPr>
          <w:sz w:val="22"/>
          <w:szCs w:val="22"/>
        </w:rPr>
        <w:lastRenderedPageBreak/>
        <w:t>zavazuje zajistit a monitorovat, že s těmito odpady bude nakládáno v souladu s platnými právními předpisy.</w:t>
      </w:r>
      <w:r w:rsidRPr="00BB308B">
        <w:rPr>
          <w:sz w:val="22"/>
          <w:szCs w:val="22"/>
        </w:rPr>
        <w:tab/>
      </w:r>
    </w:p>
    <w:p w:rsidR="00F30305" w:rsidRPr="00BB308B" w:rsidRDefault="00F30305" w:rsidP="00F30305">
      <w:pPr>
        <w:pStyle w:val="Textodst1sl"/>
        <w:rPr>
          <w:sz w:val="22"/>
          <w:szCs w:val="22"/>
        </w:rPr>
      </w:pPr>
      <w:r w:rsidRPr="00BB308B">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BB308B" w:rsidRDefault="00F30305" w:rsidP="00F30305">
      <w:pPr>
        <w:pStyle w:val="Textodst1sl"/>
        <w:rPr>
          <w:sz w:val="22"/>
          <w:szCs w:val="22"/>
        </w:rPr>
      </w:pPr>
      <w:r w:rsidRPr="00BB308B">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BB308B">
        <w:rPr>
          <w:sz w:val="22"/>
          <w:szCs w:val="22"/>
        </w:rPr>
        <w:t>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w:t>
      </w:r>
      <w:r w:rsidRPr="004A1FD6">
        <w:rPr>
          <w:sz w:val="22"/>
          <w:szCs w:val="22"/>
        </w:rPr>
        <w:t xml:space="preserv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w:t>
      </w:r>
      <w:r w:rsidRPr="00DF1D39">
        <w:rPr>
          <w:sz w:val="22"/>
          <w:szCs w:val="22"/>
        </w:rPr>
        <w:lastRenderedPageBreak/>
        <w:t>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980B70" w:rsidRPr="00F04838" w:rsidRDefault="00980B70" w:rsidP="003F25B1">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w:t>
      </w:r>
      <w:r w:rsidRPr="0038024A">
        <w:rPr>
          <w:sz w:val="22"/>
          <w:szCs w:val="22"/>
        </w:rPr>
        <w:lastRenderedPageBreak/>
        <w:t xml:space="preserve">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4E7E5D" w:rsidP="003F25B1">
      <w:pPr>
        <w:pStyle w:val="Textodst1sl"/>
        <w:numPr>
          <w:ilvl w:val="0"/>
          <w:numId w:val="21"/>
        </w:numPr>
        <w:ind w:left="1843"/>
        <w:rPr>
          <w:sz w:val="22"/>
          <w:szCs w:val="22"/>
        </w:rPr>
      </w:pPr>
      <w:r w:rsidRPr="00066378">
        <w:rPr>
          <w:sz w:val="22"/>
          <w:szCs w:val="22"/>
        </w:rPr>
        <w:lastRenderedPageBreak/>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edených v čl. 4.2.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 xml:space="preserve">Pokud v důsledku šetření, prohlídky, měření nebo zkoušení Objednatel zjistí, že některé zařízení, materiály nebo práce na Díle jsou závadné nebo jinak neodpovídají Smlouvě, </w:t>
      </w:r>
      <w:r w:rsidRPr="0038024A">
        <w:rPr>
          <w:sz w:val="22"/>
          <w:szCs w:val="22"/>
        </w:rPr>
        <w:lastRenderedPageBreak/>
        <w:t>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00CC7957">
        <w:rPr>
          <w:sz w:val="22"/>
          <w:szCs w:val="22"/>
        </w:rPr>
        <w:t xml:space="preserve">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BB308B">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BB308B">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CC7957">
        <w:rPr>
          <w:sz w:val="22"/>
          <w:szCs w:val="22"/>
        </w:rPr>
        <w:t xml:space="preserve"> </w:t>
      </w: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BB308B" w:rsidRDefault="00CC2A79" w:rsidP="00CC2A79">
      <w:pPr>
        <w:pStyle w:val="Textodst1sl"/>
        <w:rPr>
          <w:sz w:val="22"/>
          <w:szCs w:val="22"/>
        </w:rPr>
      </w:pPr>
      <w:r w:rsidRPr="00BB308B">
        <w:rPr>
          <w:sz w:val="22"/>
          <w:szCs w:val="22"/>
        </w:rPr>
        <w:t xml:space="preserve">Cena Díla dle č. 8 Smlouvy bude Zhotoviteli </w:t>
      </w:r>
      <w:r w:rsidR="00881163">
        <w:rPr>
          <w:sz w:val="22"/>
          <w:szCs w:val="22"/>
        </w:rPr>
        <w:t>u</w:t>
      </w:r>
      <w:r w:rsidRPr="00BB308B">
        <w:rPr>
          <w:sz w:val="22"/>
          <w:szCs w:val="22"/>
        </w:rPr>
        <w:t xml:space="preserve">hrazena </w:t>
      </w:r>
      <w:r w:rsidR="00881163">
        <w:rPr>
          <w:sz w:val="22"/>
          <w:szCs w:val="22"/>
        </w:rPr>
        <w:t>po dokončení a předání celého díla</w:t>
      </w:r>
      <w:r w:rsidRPr="00BB308B">
        <w:rPr>
          <w:sz w:val="22"/>
          <w:szCs w:val="22"/>
        </w:rPr>
        <w:t xml:space="preserve">, a to v návaznosti na skutečně provedené práce dle stavebního deníku. </w:t>
      </w:r>
      <w:r w:rsidR="00881163">
        <w:rPr>
          <w:sz w:val="22"/>
          <w:szCs w:val="22"/>
        </w:rPr>
        <w:t>F</w:t>
      </w:r>
      <w:r w:rsidRPr="00BB308B">
        <w:rPr>
          <w:sz w:val="22"/>
          <w:szCs w:val="22"/>
        </w:rPr>
        <w:t>aktura bude vystavena v návaznosti na podpis Předávacího protokolu dle odst. 7.1. Smlouvy o převzetí Díla bez vad a nedodělků nebo až na podpis zápisu dle odst. 7.4. Smlouvy, pokud byly v Předávacím protokole konstatovány vady a nedodělky Díla</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lastRenderedPageBreak/>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w:t>
      </w:r>
      <w:r w:rsidR="00E407C2">
        <w:rPr>
          <w:sz w:val="22"/>
          <w:szCs w:val="22"/>
        </w:rPr>
        <w:t>m uzavření, stručný název Díla</w:t>
      </w:r>
      <w:r w:rsidR="00011A43">
        <w:rPr>
          <w:sz w:val="22"/>
          <w:szCs w:val="22"/>
        </w:rPr>
        <w:t xml:space="preserve"> a označení „</w:t>
      </w:r>
      <w:r w:rsidR="00011A43" w:rsidRPr="00011A43">
        <w:rPr>
          <w:b/>
          <w:sz w:val="22"/>
          <w:szCs w:val="22"/>
        </w:rPr>
        <w:t>Optimalizace 2019</w:t>
      </w:r>
      <w:r w:rsidR="00011A43">
        <w:rPr>
          <w:sz w:val="22"/>
          <w:szCs w:val="22"/>
        </w:rPr>
        <w:t>“</w:t>
      </w:r>
      <w:r w:rsidRPr="00BB308B">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Faktury podle této Smlouvy budou 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BB308B" w:rsidRDefault="00C95840" w:rsidP="003F25B1">
      <w:pPr>
        <w:pStyle w:val="Textodst1sl"/>
        <w:numPr>
          <w:ilvl w:val="0"/>
          <w:numId w:val="18"/>
        </w:numPr>
        <w:rPr>
          <w:sz w:val="22"/>
          <w:szCs w:val="22"/>
        </w:rPr>
      </w:pPr>
      <w:r>
        <w:rPr>
          <w:sz w:val="22"/>
          <w:szCs w:val="22"/>
        </w:rPr>
        <w:t>36</w:t>
      </w:r>
      <w:r w:rsidR="00334AAD">
        <w:rPr>
          <w:sz w:val="22"/>
          <w:szCs w:val="22"/>
        </w:rPr>
        <w:t xml:space="preserve"> měsíců</w:t>
      </w:r>
      <w:r w:rsidR="0038024A" w:rsidRPr="00BB308B">
        <w:rPr>
          <w:sz w:val="22"/>
          <w:szCs w:val="22"/>
        </w:rPr>
        <w:t>;</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lastRenderedPageBreak/>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3C6092" w:rsidRPr="008D2839" w:rsidRDefault="0038024A" w:rsidP="003F25B1">
      <w:pPr>
        <w:pStyle w:val="Textodst1sl"/>
        <w:numPr>
          <w:ilvl w:val="0"/>
          <w:numId w:val="4"/>
        </w:numPr>
        <w:ind w:left="1418" w:hanging="272"/>
        <w:rPr>
          <w:bCs/>
          <w:sz w:val="22"/>
          <w:szCs w:val="22"/>
        </w:rPr>
      </w:pPr>
      <w:r w:rsidRPr="008D2839">
        <w:rPr>
          <w:sz w:val="22"/>
          <w:szCs w:val="22"/>
        </w:rPr>
        <w:lastRenderedPageBreak/>
        <w:t>při prodlení Zhotovitele s kompletním provedením a dokončením Díla v termínu dle Smlouvy – a to ve výši 0,5 % z celkové Nabídkové ceny, bez DPH, za každý započatý den prodlení;</w:t>
      </w:r>
    </w:p>
    <w:p w:rsidR="003C6092" w:rsidRPr="008D2839" w:rsidRDefault="0038024A" w:rsidP="003F25B1">
      <w:pPr>
        <w:pStyle w:val="Textodst1sl"/>
        <w:numPr>
          <w:ilvl w:val="0"/>
          <w:numId w:val="4"/>
        </w:numPr>
        <w:ind w:left="1418" w:hanging="272"/>
        <w:rPr>
          <w:bCs/>
          <w:sz w:val="22"/>
          <w:szCs w:val="22"/>
        </w:rPr>
      </w:pPr>
      <w:r w:rsidRPr="008D2839">
        <w:rPr>
          <w:bCs/>
          <w:sz w:val="22"/>
          <w:szCs w:val="22"/>
        </w:rPr>
        <w:t xml:space="preserve">při prodlení </w:t>
      </w:r>
      <w:r w:rsidRPr="008D2839">
        <w:rPr>
          <w:sz w:val="22"/>
          <w:szCs w:val="22"/>
        </w:rPr>
        <w:t xml:space="preserve">Zhotovitele </w:t>
      </w:r>
      <w:r w:rsidRPr="008D2839">
        <w:rPr>
          <w:bCs/>
          <w:sz w:val="22"/>
          <w:szCs w:val="22"/>
        </w:rPr>
        <w:t xml:space="preserve">se splněním kterékoli části Díla, a to ve výši </w:t>
      </w:r>
      <w:r w:rsidRPr="008D2839">
        <w:rPr>
          <w:sz w:val="22"/>
          <w:szCs w:val="22"/>
        </w:rPr>
        <w:t>0,5 % z dílčí Nabídkové ceny Díla bez DPH</w:t>
      </w:r>
      <w:r w:rsidRPr="008D2839">
        <w:rPr>
          <w:bCs/>
          <w:sz w:val="22"/>
          <w:szCs w:val="22"/>
        </w:rPr>
        <w:t xml:space="preserve"> za každý započatý den prodlení se splněním části Díla;</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při </w:t>
      </w:r>
      <w:r w:rsidRPr="008D2839">
        <w:rPr>
          <w:bCs/>
          <w:sz w:val="22"/>
          <w:szCs w:val="22"/>
        </w:rPr>
        <w:t xml:space="preserve">prodlení </w:t>
      </w:r>
      <w:r w:rsidRPr="008D2839">
        <w:rPr>
          <w:sz w:val="22"/>
          <w:szCs w:val="22"/>
        </w:rPr>
        <w:t xml:space="preserve">Zhotovitele </w:t>
      </w:r>
      <w:r w:rsidRPr="008D2839">
        <w:rPr>
          <w:bCs/>
          <w:sz w:val="22"/>
          <w:szCs w:val="22"/>
        </w:rPr>
        <w:t xml:space="preserve">s nástupem na odstranění Objednatelem uplatněné vady, či při prodlení </w:t>
      </w:r>
      <w:r w:rsidRPr="008D2839">
        <w:rPr>
          <w:sz w:val="22"/>
          <w:szCs w:val="22"/>
        </w:rPr>
        <w:t xml:space="preserve">Zhotovitele </w:t>
      </w:r>
      <w:r w:rsidRPr="008D2839">
        <w:rPr>
          <w:bCs/>
          <w:sz w:val="22"/>
          <w:szCs w:val="22"/>
        </w:rPr>
        <w:t xml:space="preserve">s odstraněním vady ve  stanoveném termínu, a to ve výši </w:t>
      </w:r>
      <w:r w:rsidRPr="008D2839">
        <w:rPr>
          <w:sz w:val="22"/>
          <w:szCs w:val="22"/>
        </w:rPr>
        <w:t>0,5 % z celkové Nabídkové ceny Díla bez DPH, za každý započatý den prodlení</w:t>
      </w:r>
      <w:r w:rsidRPr="008D2839">
        <w:rPr>
          <w:bCs/>
          <w:sz w:val="22"/>
          <w:szCs w:val="22"/>
        </w:rPr>
        <w:t>;</w:t>
      </w:r>
    </w:p>
    <w:p w:rsidR="003C6092" w:rsidRPr="008D2839" w:rsidRDefault="0038024A" w:rsidP="003F25B1">
      <w:pPr>
        <w:pStyle w:val="Textodst1sl"/>
        <w:numPr>
          <w:ilvl w:val="0"/>
          <w:numId w:val="4"/>
        </w:numPr>
        <w:ind w:left="1418" w:hanging="272"/>
        <w:rPr>
          <w:bCs/>
          <w:sz w:val="22"/>
          <w:szCs w:val="22"/>
        </w:rPr>
      </w:pPr>
      <w:r w:rsidRPr="008D2839">
        <w:rPr>
          <w:sz w:val="22"/>
          <w:szCs w:val="22"/>
        </w:rPr>
        <w:t>při prodlení Zhotovitele s převzetím Staveniště či vyklizením a předáním Staveniště, a to ve výši 0,5 % z celkové Nabídkové ceny Díla bez DPH, za každý započatý den prodlení;</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dojde-li k jakémukoliv jinému porušení povinnosti Zhotovitele dle Smlouvy, </w:t>
      </w:r>
      <w:r w:rsidRPr="008D2839">
        <w:rPr>
          <w:bCs/>
          <w:sz w:val="22"/>
          <w:szCs w:val="22"/>
        </w:rPr>
        <w:t xml:space="preserve">a to jednorázovou smluvní pokutu ve výši </w:t>
      </w:r>
      <w:r w:rsidRPr="008D2839">
        <w:rPr>
          <w:sz w:val="22"/>
          <w:szCs w:val="22"/>
        </w:rPr>
        <w:t>10.000</w:t>
      </w:r>
      <w:r w:rsidRPr="008D2839">
        <w:rPr>
          <w:bCs/>
          <w:sz w:val="22"/>
          <w:szCs w:val="22"/>
        </w:rPr>
        <w:t>,- Kč za každý takový případ</w:t>
      </w:r>
      <w:r w:rsidRPr="008D2839">
        <w:rPr>
          <w:sz w:val="22"/>
          <w:szCs w:val="22"/>
        </w:rPr>
        <w:t xml:space="preserve">. </w:t>
      </w:r>
    </w:p>
    <w:p w:rsidR="003C6092" w:rsidRPr="00F04838" w:rsidRDefault="0038024A" w:rsidP="003C6092">
      <w:pPr>
        <w:pStyle w:val="Textodst1sl"/>
        <w:rPr>
          <w:bCs/>
          <w:sz w:val="22"/>
          <w:szCs w:val="22"/>
        </w:rPr>
      </w:pPr>
      <w:r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Pr="008D2839">
        <w:rPr>
          <w:sz w:val="22"/>
          <w:szCs w:val="22"/>
        </w:rPr>
        <w:t>zaplacením smluvní pokuty rozumí její připsání, resp. připsání odpovídající částky na bankovní účet Objednatele. Objednatel je oprávněn svou pohledávku z titulu smluvní pokuty započíst</w:t>
      </w:r>
      <w:r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 xml:space="preserve">Objednatel bude opakovaně v prodlení s úhradou svých peněžitých závazků vyplývajících z této Smlouvy po dobu delší než 60 dnů, ačkoliv byl Objednatel </w:t>
      </w:r>
      <w:r w:rsidRPr="008D2839">
        <w:rPr>
          <w:sz w:val="22"/>
          <w:szCs w:val="22"/>
        </w:rPr>
        <w:lastRenderedPageBreak/>
        <w:t>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886F28">
        <w:rPr>
          <w:iCs/>
        </w:rPr>
        <w:t>Mgr. Zdeněk Dvořák, MPA,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rsidR="003C6092" w:rsidRPr="00F04838" w:rsidRDefault="003C6092" w:rsidP="00BD39AC">
      <w:pPr>
        <w:pStyle w:val="Textodst1sl"/>
        <w:numPr>
          <w:ilvl w:val="0"/>
          <w:numId w:val="0"/>
        </w:numPr>
        <w:ind w:left="709"/>
        <w:rPr>
          <w:sz w:val="22"/>
          <w:szCs w:val="22"/>
        </w:rPr>
      </w:pPr>
    </w:p>
    <w:p w:rsidR="00021B65" w:rsidRDefault="0038024A" w:rsidP="00BD39AC">
      <w:pPr>
        <w:pStyle w:val="Textodst1sl"/>
        <w:numPr>
          <w:ilvl w:val="0"/>
          <w:numId w:val="0"/>
        </w:numPr>
        <w:ind w:left="709"/>
        <w:rPr>
          <w:sz w:val="22"/>
          <w:szCs w:val="22"/>
        </w:rPr>
      </w:pPr>
      <w:r w:rsidRPr="00021B65">
        <w:rPr>
          <w:sz w:val="22"/>
          <w:szCs w:val="22"/>
        </w:rPr>
        <w:tab/>
        <w:t>ve věcech technických:</w:t>
      </w:r>
      <w:r w:rsidR="00D808C6" w:rsidRPr="00021B65">
        <w:rPr>
          <w:sz w:val="22"/>
          <w:szCs w:val="22"/>
        </w:rPr>
        <w:t xml:space="preserve"> </w:t>
      </w:r>
    </w:p>
    <w:p w:rsidR="00677F66" w:rsidRPr="00B05EEA" w:rsidRDefault="00677F66" w:rsidP="00677F66">
      <w:r>
        <w:t>Hana Konvalinková, provozní</w:t>
      </w:r>
      <w:r w:rsidRPr="00B05EEA">
        <w:t xml:space="preserve"> cestmistr  mobil</w:t>
      </w:r>
      <w:r>
        <w:t xml:space="preserve"> 607 731 844,</w:t>
      </w:r>
      <w:r w:rsidRPr="00B05EEA">
        <w:t xml:space="preserve">  </w:t>
      </w:r>
      <w:hyperlink r:id="rId13" w:history="1">
        <w:r w:rsidRPr="005E281E">
          <w:rPr>
            <w:rStyle w:val="Hypertextovodkaz"/>
          </w:rPr>
          <w:t xml:space="preserve">hana.konvalinkova@ksus.cz </w:t>
        </w:r>
      </w:hyperlink>
    </w:p>
    <w:p w:rsidR="00677F66" w:rsidRPr="00B05EEA" w:rsidRDefault="00677F66" w:rsidP="00677F66">
      <w:r>
        <w:rPr>
          <w:iCs/>
        </w:rPr>
        <w:t>Jan Ryšánek,</w:t>
      </w:r>
      <w:r w:rsidRPr="00B05EEA">
        <w:rPr>
          <w:iCs/>
        </w:rPr>
        <w:t xml:space="preserve"> správní cestmistr </w:t>
      </w:r>
      <w:r>
        <w:rPr>
          <w:iCs/>
        </w:rPr>
        <w:t xml:space="preserve">602 868 205 </w:t>
      </w:r>
      <w:r w:rsidRPr="00B05EEA">
        <w:rPr>
          <w:iCs/>
        </w:rPr>
        <w:t xml:space="preserve"> </w:t>
      </w:r>
      <w:r>
        <w:rPr>
          <w:iCs/>
        </w:rPr>
        <w:t>jan.rysanek</w:t>
      </w:r>
      <w:r w:rsidRPr="004A564D">
        <w:rPr>
          <w:iCs/>
        </w:rPr>
        <w:t>@ks</w:t>
      </w:r>
      <w:r>
        <w:rPr>
          <w:iCs/>
        </w:rPr>
        <w:t xml:space="preserve">us.cz  </w:t>
      </w:r>
    </w:p>
    <w:p w:rsidR="00881163" w:rsidRPr="00021B65" w:rsidRDefault="00881163" w:rsidP="005C3D5F">
      <w:pPr>
        <w:pStyle w:val="Textodst1sl"/>
        <w:numPr>
          <w:ilvl w:val="0"/>
          <w:numId w:val="0"/>
        </w:numPr>
        <w:ind w:left="709"/>
        <w:rPr>
          <w:sz w:val="22"/>
          <w:szCs w:val="22"/>
        </w:rPr>
      </w:pPr>
      <w:bookmarkStart w:id="0" w:name="_GoBack"/>
      <w:bookmarkEnd w:id="0"/>
    </w:p>
    <w:p w:rsidR="00334AAD" w:rsidRDefault="00334AAD" w:rsidP="00881163">
      <w:pPr>
        <w:pStyle w:val="Textodst1sl"/>
        <w:numPr>
          <w:ilvl w:val="0"/>
          <w:numId w:val="0"/>
        </w:numPr>
        <w:ind w:left="709"/>
        <w:rPr>
          <w:sz w:val="22"/>
          <w:szCs w:val="22"/>
        </w:rPr>
      </w:pPr>
    </w:p>
    <w:p w:rsidR="00C73F04" w:rsidRPr="00D808C6" w:rsidRDefault="00C73F04" w:rsidP="00C73F04">
      <w:pPr>
        <w:pStyle w:val="Textodst1sl"/>
        <w:numPr>
          <w:ilvl w:val="0"/>
          <w:numId w:val="0"/>
        </w:numPr>
        <w:ind w:left="1430"/>
        <w:rPr>
          <w:sz w:val="22"/>
          <w:szCs w:val="22"/>
        </w:rPr>
      </w:pPr>
      <w:r w:rsidRPr="00D808C6">
        <w:rPr>
          <w:sz w:val="22"/>
          <w:szCs w:val="22"/>
        </w:rPr>
        <w:lastRenderedPageBreak/>
        <w:t>ve věcech ekonomick</w:t>
      </w:r>
      <w:r w:rsidR="00D808C6" w:rsidRPr="00D808C6">
        <w:rPr>
          <w:sz w:val="22"/>
          <w:szCs w:val="22"/>
        </w:rPr>
        <w:t xml:space="preserve">ých a finančních: </w:t>
      </w:r>
      <w:r w:rsidR="00E407C2">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00E407C2" w:rsidRPr="00F825F3">
          <w:rPr>
            <w:rStyle w:val="Hypertextovodkaz"/>
            <w:sz w:val="22"/>
            <w:szCs w:val="22"/>
          </w:rPr>
          <w:t>jaroslava.jurkova@ksus.cz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886F28" w:rsidP="00BD39AC">
      <w:pPr>
        <w:pStyle w:val="Textodst3psmena"/>
        <w:spacing w:line="276" w:lineRule="auto"/>
        <w:ind w:hanging="335"/>
        <w:rPr>
          <w:sz w:val="22"/>
          <w:szCs w:val="22"/>
        </w:rPr>
      </w:pPr>
      <w:r>
        <w:rPr>
          <w:iCs/>
        </w:rPr>
        <w:t>Mgr. Zdeněk Dvořák, MPA,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5" w:history="1">
        <w:r w:rsidRPr="00FA764D">
          <w:rPr>
            <w:rStyle w:val="Hypertextovodkaz"/>
            <w:sz w:val="22"/>
            <w:szCs w:val="22"/>
          </w:rPr>
          <w:t>zdenek.dvorak@ksus.cz</w:t>
        </w:r>
      </w:hyperlink>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B80882">
          <w:rPr>
            <w:rStyle w:val="Hypertextovodkaz"/>
            <w:sz w:val="22"/>
            <w:szCs w:val="22"/>
          </w:rPr>
          <w:t>ales.cermak@ksus.cz</w:t>
        </w:r>
      </w:hyperlink>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která tvoří součást této Smlouvy/jejíž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 xml:space="preserve">rany osob </w:t>
      </w:r>
      <w:r w:rsidR="00F44CE4">
        <w:rPr>
          <w:sz w:val="22"/>
          <w:szCs w:val="22"/>
        </w:rPr>
        <w:lastRenderedPageBreak/>
        <w:t>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38024A" w:rsidP="003C6092">
      <w:pPr>
        <w:pStyle w:val="Textodst1sl"/>
        <w:rPr>
          <w:sz w:val="22"/>
          <w:szCs w:val="22"/>
        </w:rPr>
      </w:pPr>
      <w:r w:rsidRPr="00A94E88">
        <w:rPr>
          <w:sz w:val="22"/>
          <w:szCs w:val="22"/>
        </w:rPr>
        <w:t>Smlouva je vyhotovena v 5 stejnopisech s platností originálu, z nichž Objednatel obdrží 3 stejnopisy a Zhotovitel obdrží 2 stejnopisy.</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Pr="00F04838" w:rsidRDefault="00272B32" w:rsidP="00272B32">
      <w:pPr>
        <w:pStyle w:val="Textodst1sl"/>
        <w:numPr>
          <w:ilvl w:val="0"/>
          <w:numId w:val="0"/>
        </w:numPr>
        <w:ind w:left="1506"/>
        <w:rPr>
          <w:sz w:val="22"/>
          <w:szCs w:val="22"/>
        </w:rPr>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886F28" w:rsidP="00C73F04">
            <w:pPr>
              <w:keepNext/>
              <w:spacing w:before="80"/>
              <w:rPr>
                <w:sz w:val="22"/>
                <w:szCs w:val="22"/>
              </w:rPr>
            </w:pPr>
            <w:r>
              <w:rPr>
                <w:iCs/>
              </w:rPr>
              <w:t>Mgr. Zdeněk Dvořák, MPA,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17"/>
          <w:footerReference w:type="default" r:id="rId18"/>
          <w:footerReference w:type="first" r:id="rId19"/>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677F66">
              <w:rPr>
                <w:rFonts w:ascii="Calibri" w:hAnsi="Calibri" w:cs="Calibri"/>
                <w:noProof/>
                <w:color w:val="A6A6A6" w:themeColor="background1" w:themeShade="A6"/>
                <w:sz w:val="20"/>
              </w:rPr>
              <w:t>18</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677F66">
              <w:rPr>
                <w:rFonts w:ascii="Calibri" w:hAnsi="Calibri" w:cs="Calibri"/>
                <w:noProof/>
                <w:color w:val="A6A6A6" w:themeColor="background1" w:themeShade="A6"/>
                <w:sz w:val="20"/>
              </w:rPr>
              <w:t>49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1"/>
          <w:footerReference w:type="first" r:id="rId22"/>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3"/>
          <w:footerReference w:type="default" r:id="rId24"/>
          <w:headerReference w:type="first" r:id="rId25"/>
          <w:footerReference w:type="first" r:id="rId26"/>
          <w:type w:val="continuous"/>
          <w:pgSz w:w="11906" w:h="16838"/>
          <w:pgMar w:top="1417" w:right="1417" w:bottom="1417" w:left="1417" w:header="708" w:footer="708" w:gutter="0"/>
          <w:cols w:space="708"/>
          <w:titlePg/>
          <w:docGrid w:linePitch="360"/>
        </w:sectPr>
      </w:pPr>
    </w:p>
    <w:p w:rsidR="00A80F72" w:rsidRPr="008E6552" w:rsidRDefault="00A80F72" w:rsidP="00A80F72">
      <w:pPr>
        <w:tabs>
          <w:tab w:val="left" w:pos="3285"/>
        </w:tabs>
        <w:spacing w:before="1000" w:after="1200"/>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rsidR="00A80F72" w:rsidRPr="008E6552" w:rsidRDefault="00A80F72" w:rsidP="00A80F7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A80F72" w:rsidRPr="008E6552" w:rsidTr="00A80F72">
        <w:trPr>
          <w:trHeight w:val="363"/>
        </w:trPr>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A80F72" w:rsidRPr="008E6552" w:rsidTr="00A80F72">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A80F72" w:rsidRPr="008E6552" w:rsidTr="00A80F72">
        <w:trPr>
          <w:trHeight w:val="309"/>
        </w:trPr>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A80F72" w:rsidRPr="008E6552" w:rsidTr="00A80F72">
        <w:trPr>
          <w:trHeight w:val="990"/>
        </w:trPr>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rsidR="00A80F72" w:rsidRPr="008E6552" w:rsidRDefault="00A80F72" w:rsidP="00A80F72">
      <w:pPr>
        <w:tabs>
          <w:tab w:val="clear" w:pos="0"/>
          <w:tab w:val="clear" w:pos="284"/>
          <w:tab w:val="clear" w:pos="1701"/>
        </w:tabs>
        <w:spacing w:before="200"/>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A80F72" w:rsidRPr="008E6552" w:rsidTr="00A80F72">
        <w:trPr>
          <w:cantSplit/>
          <w:trHeight w:val="278"/>
        </w:trPr>
        <w:tc>
          <w:tcPr>
            <w:tcW w:w="4140" w:type="dxa"/>
            <w:gridSpan w:val="2"/>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rsidR="00A80F72" w:rsidRPr="008E6552" w:rsidRDefault="00A80F72" w:rsidP="00A80F7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A80F72" w:rsidRPr="008E6552" w:rsidTr="00A80F72">
        <w:trPr>
          <w:cantSplit/>
          <w:trHeight w:val="277"/>
        </w:trPr>
        <w:tc>
          <w:tcPr>
            <w:tcW w:w="4140" w:type="dxa"/>
            <w:gridSpan w:val="2"/>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rsidR="00A80F72" w:rsidRPr="008E6552" w:rsidRDefault="00A80F72" w:rsidP="00A80F7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rsidR="00A80F72" w:rsidRPr="008E6552" w:rsidRDefault="00A80F72" w:rsidP="00A80F72">
      <w:pPr>
        <w:tabs>
          <w:tab w:val="clear" w:pos="0"/>
          <w:tab w:val="clear" w:pos="284"/>
          <w:tab w:val="clear" w:pos="1701"/>
        </w:tabs>
        <w:spacing w:before="200"/>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A80F72" w:rsidRPr="008E6552" w:rsidTr="00A80F72">
        <w:trPr>
          <w:jc w:val="center"/>
        </w:trPr>
        <w:tc>
          <w:tcPr>
            <w:tcW w:w="3070" w:type="dxa"/>
          </w:tcPr>
          <w:p w:rsidR="00A80F72" w:rsidRPr="008E6552" w:rsidRDefault="00A80F72" w:rsidP="00A80F7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rsidR="00A80F72" w:rsidRPr="008E6552" w:rsidRDefault="00A80F72" w:rsidP="00A80F72">
            <w:pPr>
              <w:tabs>
                <w:tab w:val="clear" w:pos="0"/>
                <w:tab w:val="clear" w:pos="284"/>
                <w:tab w:val="clear" w:pos="1701"/>
              </w:tabs>
              <w:jc w:val="center"/>
              <w:rPr>
                <w:rFonts w:ascii="OfficinaSanItcTEE" w:hAnsi="OfficinaSanItcTEE"/>
                <w:b/>
                <w:sz w:val="20"/>
                <w:szCs w:val="24"/>
              </w:rPr>
            </w:pPr>
          </w:p>
        </w:tc>
        <w:tc>
          <w:tcPr>
            <w:tcW w:w="3071" w:type="dxa"/>
          </w:tcPr>
          <w:p w:rsidR="00A80F72" w:rsidRPr="008E6552" w:rsidRDefault="00A80F72" w:rsidP="00A80F72">
            <w:pPr>
              <w:tabs>
                <w:tab w:val="clear" w:pos="0"/>
                <w:tab w:val="clear" w:pos="284"/>
                <w:tab w:val="clear" w:pos="1701"/>
              </w:tabs>
              <w:jc w:val="right"/>
              <w:rPr>
                <w:rFonts w:ascii="OfficinaSanItcTEE" w:hAnsi="OfficinaSanItcTEE"/>
                <w:b/>
                <w:sz w:val="20"/>
                <w:szCs w:val="24"/>
              </w:rPr>
            </w:pPr>
          </w:p>
        </w:tc>
      </w:tr>
    </w:tbl>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A80F72" w:rsidRPr="008E6552" w:rsidTr="00A80F72">
        <w:trPr>
          <w:cantSplit/>
        </w:trPr>
        <w:tc>
          <w:tcPr>
            <w:tcW w:w="3850" w:type="dxa"/>
            <w:gridSpan w:val="3"/>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bl>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before="60" w:after="60"/>
        <w:outlineLvl w:val="4"/>
        <w:rPr>
          <w:i/>
          <w:iCs/>
          <w:caps/>
          <w:sz w:val="22"/>
          <w:szCs w:val="26"/>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709"/>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rsidR="00A80F72" w:rsidRPr="008E6552" w:rsidRDefault="00A80F72" w:rsidP="00A80F7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rsidR="00A80F72" w:rsidRPr="008E6552" w:rsidRDefault="00A80F72" w:rsidP="00A80F72">
      <w:pPr>
        <w:tabs>
          <w:tab w:val="clear" w:pos="0"/>
          <w:tab w:val="clear" w:pos="284"/>
          <w:tab w:val="clear" w:pos="1701"/>
        </w:tabs>
        <w:spacing w:after="200" w:line="276" w:lineRule="auto"/>
        <w:jc w:val="left"/>
        <w:rPr>
          <w:sz w:val="22"/>
          <w:szCs w:val="22"/>
        </w:rPr>
      </w:pPr>
      <w:r w:rsidRPr="008E6552">
        <w:rPr>
          <w:sz w:val="22"/>
          <w:szCs w:val="22"/>
        </w:rPr>
        <w:br w:type="page"/>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ustanovení</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Působnost Směrnice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Definice pojmů</w:t>
      </w:r>
    </w:p>
    <w:p w:rsidR="00A80F72" w:rsidRPr="008E6552" w:rsidRDefault="00A80F72" w:rsidP="00A80F7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7"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w:t>
      </w:r>
      <w:r w:rsidRPr="008E6552">
        <w:rPr>
          <w:rFonts w:eastAsia="Arial Unicode MS"/>
          <w:kern w:val="1"/>
          <w:sz w:val="22"/>
          <w:szCs w:val="22"/>
          <w:lang w:eastAsia="ar-SA"/>
        </w:rPr>
        <w:lastRenderedPageBreak/>
        <w:t xml:space="preserve">v menším rozsahu, než bylo sjednáno ve Smlouvě ke dni podpisu Smlouvy.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Článek 2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Změny během výstavby</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 3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rsidR="00A80F72" w:rsidRPr="008E6552" w:rsidRDefault="00A80F72" w:rsidP="00A80F7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rsidR="00A80F72" w:rsidRPr="008E6552" w:rsidRDefault="00A80F72" w:rsidP="00A80F72">
      <w:pPr>
        <w:tabs>
          <w:tab w:val="clear" w:pos="0"/>
          <w:tab w:val="clear" w:pos="284"/>
          <w:tab w:val="clear" w:pos="1701"/>
        </w:tabs>
        <w:suppressAutoHyphens/>
        <w:spacing w:after="200"/>
        <w:ind w:left="720"/>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hodnocení Změn</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rsidR="00A80F72" w:rsidRPr="008E6552" w:rsidRDefault="00A80F72" w:rsidP="00A80F7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rsidR="00A80F72" w:rsidRPr="008E6552" w:rsidRDefault="00A80F72" w:rsidP="00A80F7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rsidR="00A80F72" w:rsidRPr="008E6552" w:rsidRDefault="00A80F72" w:rsidP="00A80F7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rsidR="00A80F72" w:rsidRPr="008E6552" w:rsidRDefault="00A80F72" w:rsidP="00A80F72">
      <w:pPr>
        <w:numPr>
          <w:ilvl w:val="0"/>
          <w:numId w:val="47"/>
        </w:numPr>
        <w:tabs>
          <w:tab w:val="clear" w:pos="0"/>
          <w:tab w:val="clear" w:pos="284"/>
          <w:tab w:val="clear" w:pos="1701"/>
        </w:tabs>
        <w:spacing w:after="200"/>
        <w:ind w:left="714" w:hanging="357"/>
        <w:rPr>
          <w:sz w:val="22"/>
          <w:szCs w:val="22"/>
        </w:rPr>
      </w:pPr>
      <w:r w:rsidRPr="008E6552">
        <w:rPr>
          <w:sz w:val="22"/>
          <w:szCs w:val="22"/>
        </w:rPr>
        <w:lastRenderedPageBreak/>
        <w:t>Provedení podstatné Změny není přípustné. V případě podstatné Změny musí být provedeno nové zadávací řízení za splnění podmínek ZZVZ.</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rsidR="00A80F72" w:rsidRPr="008E6552" w:rsidRDefault="00A80F72" w:rsidP="00A80F7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rsidR="00A80F72" w:rsidRPr="008E6552" w:rsidRDefault="00A80F72" w:rsidP="00A80F72">
      <w:pPr>
        <w:tabs>
          <w:tab w:val="clear" w:pos="0"/>
          <w:tab w:val="clear" w:pos="284"/>
          <w:tab w:val="clear" w:pos="1701"/>
        </w:tabs>
        <w:spacing w:after="200"/>
        <w:ind w:left="720"/>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5</w:t>
      </w:r>
    </w:p>
    <w:p w:rsidR="00A80F72" w:rsidRPr="008E6552" w:rsidRDefault="00A80F72" w:rsidP="00A80F72">
      <w:pPr>
        <w:tabs>
          <w:tab w:val="clear" w:pos="0"/>
          <w:tab w:val="clear" w:pos="284"/>
          <w:tab w:val="clear" w:pos="1701"/>
        </w:tabs>
        <w:spacing w:after="60"/>
        <w:ind w:left="1418"/>
        <w:jc w:val="center"/>
        <w:rPr>
          <w:sz w:val="22"/>
          <w:szCs w:val="22"/>
        </w:rPr>
      </w:pPr>
      <w:r w:rsidRPr="008E6552">
        <w:rPr>
          <w:b/>
          <w:sz w:val="22"/>
          <w:szCs w:val="22"/>
        </w:rPr>
        <w:t>Nepodstatné Změny</w:t>
      </w:r>
    </w:p>
    <w:p w:rsidR="00A80F72" w:rsidRPr="008E6552" w:rsidRDefault="00A80F72" w:rsidP="00A80F7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rsidR="00A80F72" w:rsidRPr="008E6552" w:rsidRDefault="00A80F72" w:rsidP="00A80F7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6</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Řetězení Změn</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360" w:hanging="360"/>
        <w:jc w:val="center"/>
        <w:rPr>
          <w:b/>
          <w:sz w:val="22"/>
          <w:szCs w:val="22"/>
        </w:rPr>
      </w:pPr>
      <w:r w:rsidRPr="008E6552">
        <w:rPr>
          <w:b/>
          <w:sz w:val="22"/>
          <w:szCs w:val="22"/>
        </w:rPr>
        <w:t>§ 7</w:t>
      </w:r>
    </w:p>
    <w:p w:rsidR="00A80F72" w:rsidRPr="008E6552" w:rsidRDefault="00A80F72" w:rsidP="00A80F7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rsidR="00A80F72" w:rsidRPr="008E6552" w:rsidRDefault="00A80F72" w:rsidP="00A80F7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rsidR="00A80F72" w:rsidRPr="008E6552" w:rsidRDefault="00A80F72" w:rsidP="00A80F7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rsidR="00A80F72" w:rsidRPr="008E6552" w:rsidRDefault="00A80F72" w:rsidP="00A80F7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rsidR="00A80F72" w:rsidRPr="008E6552" w:rsidRDefault="00A80F72" w:rsidP="00A80F7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V případě vyhrazené změny se tato Změna pouze eviduje (neuzavírá se dodatek ke smlouvě) ve Změnovém listu. Změnový list se neuveřejňuje v Registru smluv, uveřejní se však do 15 dnů na profilu zadavatele.   </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8</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Preliminářové položky</w:t>
      </w:r>
    </w:p>
    <w:p w:rsidR="00A80F72" w:rsidRPr="008E6552" w:rsidRDefault="00A80F72" w:rsidP="00A80F7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A80F72" w:rsidRPr="008E6552" w:rsidRDefault="00A80F72" w:rsidP="00A80F7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9</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Záměna položek  - Skupina 2</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w:t>
      </w:r>
      <w:r w:rsidRPr="008E6552">
        <w:rPr>
          <w:rFonts w:eastAsia="MS Mincho"/>
          <w:sz w:val="22"/>
          <w:szCs w:val="22"/>
        </w:rPr>
        <w:lastRenderedPageBreak/>
        <w:t>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10</w:t>
      </w:r>
    </w:p>
    <w:p w:rsidR="00A80F72" w:rsidRPr="008E6552" w:rsidRDefault="00A80F72" w:rsidP="00A80F7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rsidR="00A80F72" w:rsidRPr="008E6552" w:rsidRDefault="00A80F72" w:rsidP="00A80F7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rsidR="00A80F72" w:rsidRPr="008E6552" w:rsidRDefault="00A80F72" w:rsidP="00A80F7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rsidR="00A80F72" w:rsidRPr="008E6552" w:rsidRDefault="00A80F72" w:rsidP="00A80F7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lastRenderedPageBreak/>
        <w:t>požadavků třetích osob, pokud tyto požadavky vzniknou v průběhu realizace a jsou uplatněny subjekty, které jsou k tomu oprávněny.</w:t>
      </w:r>
    </w:p>
    <w:p w:rsidR="00A80F72" w:rsidRPr="008E6552" w:rsidRDefault="00A80F72" w:rsidP="00A80F7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A80F72" w:rsidRPr="008E6552" w:rsidRDefault="00A80F72" w:rsidP="00A80F7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11</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rsidR="00A80F72" w:rsidRPr="008E6552" w:rsidRDefault="00A80F72" w:rsidP="00A80F7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Hodnota dodatečných prací, jejichž potřeba vznikla z důvodů podle tohoto paragrafu, se započítává do limitu pro Zákonem povolené změny - viz § 13 této Směrnice.</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A80F72" w:rsidRPr="008E6552" w:rsidRDefault="00A80F72" w:rsidP="00A80F7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12</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rsidR="00A80F72" w:rsidRPr="008E6552" w:rsidRDefault="00A80F72" w:rsidP="00A80F7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rsidR="00A80F72" w:rsidRDefault="00A80F72" w:rsidP="00A80F72">
      <w:pPr>
        <w:tabs>
          <w:tab w:val="clear" w:pos="0"/>
          <w:tab w:val="clear" w:pos="284"/>
          <w:tab w:val="clear" w:pos="1701"/>
        </w:tabs>
        <w:spacing w:after="60"/>
        <w:jc w:val="center"/>
        <w:rPr>
          <w:b/>
          <w:sz w:val="22"/>
          <w:szCs w:val="22"/>
        </w:rPr>
      </w:pPr>
    </w:p>
    <w:p w:rsidR="00A80F7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13</w:t>
      </w:r>
    </w:p>
    <w:p w:rsidR="00A80F72" w:rsidRPr="008E6552" w:rsidRDefault="00A80F72" w:rsidP="00A80F7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lastRenderedPageBreak/>
        <w:tab/>
        <w:t>Způsob započítávání a výpočtu limitů</w:t>
      </w:r>
      <w:r w:rsidRPr="008E6552">
        <w:rPr>
          <w:b/>
          <w:sz w:val="22"/>
          <w:szCs w:val="22"/>
        </w:rPr>
        <w:tab/>
      </w:r>
    </w:p>
    <w:p w:rsidR="00A80F72" w:rsidRPr="008E6552" w:rsidRDefault="00A80F72" w:rsidP="00A80F7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A80F72" w:rsidRPr="008E6552" w:rsidRDefault="00A80F72" w:rsidP="00A80F7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rsidR="00A80F72" w:rsidRPr="008E6552" w:rsidRDefault="00A80F72" w:rsidP="00A80F7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Default="00A80F72" w:rsidP="00A80F7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A80F72" w:rsidRPr="008E6552" w:rsidRDefault="00A80F72" w:rsidP="00A80F72">
      <w:pPr>
        <w:tabs>
          <w:tab w:val="clear" w:pos="0"/>
          <w:tab w:val="clear" w:pos="284"/>
          <w:tab w:val="clear" w:pos="1701"/>
        </w:tabs>
        <w:suppressAutoHyphens/>
        <w:spacing w:after="200"/>
        <w:ind w:left="777"/>
        <w:rPr>
          <w:rFonts w:ascii="OfficinaSanItcTEE" w:eastAsia="Arial Unicode MS" w:hAnsi="OfficinaSanItcTEE"/>
          <w:kern w:val="1"/>
          <w:sz w:val="22"/>
          <w:szCs w:val="24"/>
          <w:lang w:eastAsia="ar-SA"/>
        </w:rPr>
      </w:pPr>
    </w:p>
    <w:p w:rsidR="00A80F72" w:rsidRPr="008E6552" w:rsidRDefault="00A80F72" w:rsidP="00A80F72">
      <w:pPr>
        <w:tabs>
          <w:tab w:val="clear" w:pos="0"/>
          <w:tab w:val="clear" w:pos="284"/>
          <w:tab w:val="clear" w:pos="1701"/>
        </w:tabs>
        <w:jc w:val="center"/>
        <w:rPr>
          <w:b/>
          <w:sz w:val="22"/>
          <w:szCs w:val="22"/>
        </w:rPr>
      </w:pPr>
      <w:r w:rsidRPr="008E6552">
        <w:rPr>
          <w:b/>
          <w:sz w:val="22"/>
          <w:szCs w:val="22"/>
        </w:rPr>
        <w:t>§ 14</w:t>
      </w:r>
    </w:p>
    <w:p w:rsidR="00A80F72" w:rsidRPr="008E6552" w:rsidRDefault="00A80F72" w:rsidP="00A80F7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rsidR="00A80F72" w:rsidRPr="008E6552" w:rsidRDefault="00A80F72" w:rsidP="00A80F7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rsidR="00A80F72" w:rsidRPr="008E6552" w:rsidRDefault="00A80F72" w:rsidP="00A80F7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w:t>
      </w:r>
      <w:r w:rsidRPr="008E6552">
        <w:rPr>
          <w:rFonts w:eastAsia="Arial Unicode MS"/>
          <w:kern w:val="1"/>
          <w:sz w:val="22"/>
          <w:szCs w:val="22"/>
          <w:lang w:eastAsia="ar-SA"/>
        </w:rPr>
        <w:lastRenderedPageBreak/>
        <w:t xml:space="preserve">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rsidR="00A80F7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rsidR="00A80F72" w:rsidRPr="008E6552" w:rsidRDefault="00A80F72" w:rsidP="00A80F72">
      <w:pPr>
        <w:tabs>
          <w:tab w:val="clear" w:pos="0"/>
          <w:tab w:val="clear" w:pos="284"/>
          <w:tab w:val="clear" w:pos="1701"/>
        </w:tabs>
        <w:suppressAutoHyphens/>
        <w:spacing w:after="200"/>
        <w:ind w:left="714"/>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rsidR="00A80F72" w:rsidRPr="008E6552" w:rsidRDefault="00A80F72" w:rsidP="00A80F7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16</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rsidR="00A80F72" w:rsidRPr="008E6552" w:rsidRDefault="00A80F72" w:rsidP="00A80F7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rsidR="00A80F72" w:rsidRPr="008E6552" w:rsidRDefault="00A80F72" w:rsidP="00A80F7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rsidR="00A80F72" w:rsidRPr="008E6552" w:rsidRDefault="00A80F72" w:rsidP="00A80F7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rsidR="00A80F72" w:rsidRPr="008E6552" w:rsidRDefault="00A80F72" w:rsidP="00A80F7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rsidR="00A80F72" w:rsidRPr="008E6552" w:rsidRDefault="00A80F72" w:rsidP="00A80F7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rsidR="00A80F72" w:rsidRPr="008E6552" w:rsidRDefault="00A80F72" w:rsidP="00A80F7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rsidR="00A80F72" w:rsidRPr="008E6552" w:rsidRDefault="00A80F72" w:rsidP="00A80F72">
      <w:pPr>
        <w:tabs>
          <w:tab w:val="clear" w:pos="0"/>
          <w:tab w:val="clear" w:pos="284"/>
          <w:tab w:val="clear" w:pos="1701"/>
        </w:tabs>
        <w:suppressAutoHyphens/>
        <w:ind w:left="720" w:hanging="294"/>
        <w:jc w:val="left"/>
        <w:rPr>
          <w:rFonts w:eastAsia="Arial Unicode MS"/>
          <w:kern w:val="1"/>
          <w:sz w:val="22"/>
          <w:szCs w:val="22"/>
          <w:lang w:eastAsia="ar-SA"/>
        </w:rPr>
      </w:pP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rsidR="00A80F72" w:rsidRPr="008E6552" w:rsidRDefault="00A80F72" w:rsidP="00A80F7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rsidR="00A80F72" w:rsidRPr="008E6552" w:rsidRDefault="00A80F72" w:rsidP="00A80F72">
      <w:pPr>
        <w:tabs>
          <w:tab w:val="clear" w:pos="0"/>
          <w:tab w:val="clear" w:pos="284"/>
          <w:tab w:val="clear" w:pos="1701"/>
        </w:tabs>
        <w:suppressAutoHyphens/>
        <w:ind w:left="720"/>
        <w:rPr>
          <w:rFonts w:eastAsia="Arial Unicode MS"/>
          <w:kern w:val="1"/>
          <w:sz w:val="22"/>
          <w:szCs w:val="22"/>
          <w:lang w:eastAsia="ar-SA"/>
        </w:rPr>
      </w:pP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rsidR="00A80F7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rsidR="00A80F72" w:rsidRPr="008E6552" w:rsidRDefault="00A80F72" w:rsidP="00A80F72">
      <w:pPr>
        <w:tabs>
          <w:tab w:val="clear" w:pos="0"/>
          <w:tab w:val="clear" w:pos="284"/>
          <w:tab w:val="clear" w:pos="1701"/>
        </w:tabs>
        <w:suppressAutoHyphens/>
        <w:spacing w:after="200" w:line="240" w:lineRule="atLeast"/>
        <w:ind w:left="851"/>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rsidR="00A80F72" w:rsidRPr="008E6552" w:rsidRDefault="00A80F72" w:rsidP="00A80F7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A80F72" w:rsidRPr="008E6552" w:rsidRDefault="00A80F72" w:rsidP="00A80F7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lastRenderedPageBreak/>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rsidR="00A80F72" w:rsidRPr="008E6552" w:rsidRDefault="00A80F72" w:rsidP="00A80F7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rsidR="00A80F72" w:rsidRPr="008E6552" w:rsidRDefault="00A80F72" w:rsidP="00A80F7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22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A80F72" w:rsidRPr="008E6552" w:rsidRDefault="00A80F72" w:rsidP="00A80F72">
      <w:pPr>
        <w:tabs>
          <w:tab w:val="clear" w:pos="0"/>
          <w:tab w:val="clear" w:pos="284"/>
          <w:tab w:val="clear" w:pos="1701"/>
        </w:tabs>
        <w:spacing w:after="60"/>
        <w:jc w:val="left"/>
        <w:rPr>
          <w:b/>
          <w:sz w:val="22"/>
          <w:szCs w:val="22"/>
        </w:rPr>
      </w:pPr>
    </w:p>
    <w:p w:rsidR="00A80F72" w:rsidRPr="008E6552" w:rsidRDefault="00A80F72" w:rsidP="00A80F72">
      <w:pPr>
        <w:tabs>
          <w:tab w:val="clear" w:pos="0"/>
          <w:tab w:val="clear" w:pos="284"/>
          <w:tab w:val="clear" w:pos="1701"/>
        </w:tabs>
        <w:spacing w:after="60"/>
        <w:ind w:left="720"/>
        <w:jc w:val="center"/>
        <w:rPr>
          <w:b/>
          <w:sz w:val="22"/>
          <w:szCs w:val="22"/>
        </w:rPr>
      </w:pPr>
      <w:r w:rsidRPr="008E6552">
        <w:rPr>
          <w:b/>
          <w:sz w:val="22"/>
          <w:szCs w:val="22"/>
        </w:rPr>
        <w:t>§ 23</w:t>
      </w:r>
    </w:p>
    <w:p w:rsidR="00A80F72" w:rsidRPr="008E6552" w:rsidRDefault="00A80F72" w:rsidP="00A80F72">
      <w:pPr>
        <w:tabs>
          <w:tab w:val="clear" w:pos="0"/>
          <w:tab w:val="clear" w:pos="284"/>
          <w:tab w:val="clear" w:pos="1701"/>
        </w:tabs>
        <w:spacing w:after="200"/>
        <w:ind w:left="720"/>
        <w:jc w:val="center"/>
        <w:rPr>
          <w:b/>
          <w:sz w:val="22"/>
          <w:szCs w:val="22"/>
        </w:rPr>
      </w:pPr>
      <w:r w:rsidRPr="008E6552">
        <w:rPr>
          <w:b/>
          <w:sz w:val="22"/>
          <w:szCs w:val="22"/>
        </w:rPr>
        <w:lastRenderedPageBreak/>
        <w:t>Účinnost</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Krycí list ZBV</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rsidR="00A80F72" w:rsidRPr="008E6552" w:rsidRDefault="00A80F72" w:rsidP="00A80F72">
      <w:pPr>
        <w:tabs>
          <w:tab w:val="clear" w:pos="0"/>
          <w:tab w:val="clear" w:pos="284"/>
          <w:tab w:val="clear" w:pos="1701"/>
        </w:tabs>
        <w:spacing w:after="60"/>
        <w:ind w:left="709"/>
        <w:rPr>
          <w:sz w:val="22"/>
          <w:szCs w:val="22"/>
        </w:rPr>
      </w:pPr>
    </w:p>
    <w:p w:rsidR="00A80F72" w:rsidRPr="008E6552" w:rsidRDefault="00A80F72" w:rsidP="00A80F72">
      <w:pPr>
        <w:tabs>
          <w:tab w:val="clear" w:pos="0"/>
          <w:tab w:val="clear" w:pos="284"/>
          <w:tab w:val="clear" w:pos="1701"/>
        </w:tabs>
        <w:spacing w:after="60"/>
        <w:ind w:left="1418"/>
        <w:rPr>
          <w:sz w:val="22"/>
          <w:szCs w:val="22"/>
        </w:rPr>
      </w:pPr>
    </w:p>
    <w:p w:rsidR="00A80F72" w:rsidRPr="008E6552" w:rsidRDefault="00A80F72" w:rsidP="00A80F7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Bc. Zdeněk Dvořák</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ředitel</w:t>
      </w: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rPr>
          <w:rFonts w:ascii="OfficinaSanItcTEE" w:hAnsi="OfficinaSanItcTEE"/>
          <w:b/>
          <w:szCs w:val="24"/>
        </w:rPr>
      </w:pPr>
    </w:p>
    <w:p w:rsidR="00A80F72" w:rsidRDefault="00A80F72" w:rsidP="009329F1">
      <w:pPr>
        <w:tabs>
          <w:tab w:val="clear" w:pos="0"/>
          <w:tab w:val="clear" w:pos="284"/>
          <w:tab w:val="clear" w:pos="1701"/>
        </w:tabs>
        <w:jc w:val="left"/>
        <w:rPr>
          <w:szCs w:val="22"/>
        </w:rPr>
        <w:sectPr w:rsidR="00A80F72" w:rsidSect="00B722D5">
          <w:headerReference w:type="first" r:id="rId28"/>
          <w:footerReference w:type="first" r:id="rId29"/>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szCs w:val="22"/>
        </w:rPr>
      </w:pPr>
    </w:p>
    <w:p w:rsidR="00A80F72" w:rsidRDefault="00A80F72" w:rsidP="009329F1">
      <w:pPr>
        <w:ind w:left="5103"/>
        <w:jc w:val="center"/>
        <w:rPr>
          <w:szCs w:val="22"/>
        </w:rPr>
      </w:pPr>
    </w:p>
    <w:p w:rsidR="00A80F72" w:rsidRPr="00A80F72" w:rsidRDefault="00A80F72" w:rsidP="00A80F72">
      <w:pPr>
        <w:rPr>
          <w:szCs w:val="22"/>
        </w:rPr>
      </w:pPr>
    </w:p>
    <w:p w:rsidR="00A80F72" w:rsidRPr="00A80F72" w:rsidRDefault="00A80F72" w:rsidP="00A80F72">
      <w:pPr>
        <w:rPr>
          <w:szCs w:val="22"/>
        </w:rPr>
      </w:pPr>
    </w:p>
    <w:p w:rsidR="00A80F72" w:rsidRPr="00A80F72" w:rsidRDefault="00A80F72" w:rsidP="00A80F72">
      <w:pPr>
        <w:rPr>
          <w:szCs w:val="22"/>
        </w:rPr>
      </w:pPr>
    </w:p>
    <w:p w:rsidR="00A80F72" w:rsidRDefault="00A80F72" w:rsidP="00A80F72">
      <w:pPr>
        <w:rPr>
          <w:szCs w:val="22"/>
        </w:rPr>
        <w:sectPr w:rsidR="00A80F72" w:rsidSect="00B722D5">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2"/>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4"/>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6" o:title=""/>
          </v:shape>
          <o:OLEObject Type="Embed" ProgID="Excel.Sheet.12" ShapeID="_x0000_i1025" DrawAspect="Content" ObjectID="_1623128484" r:id="rId37"/>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p>
    <w:sectPr w:rsidR="00525DC5" w:rsidSect="009B6FC2">
      <w:footerReference w:type="default" r:id="rId39"/>
      <w:foot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E9" w:rsidRDefault="000C4FE9" w:rsidP="003C6092">
      <w:r>
        <w:separator/>
      </w:r>
    </w:p>
  </w:endnote>
  <w:endnote w:type="continuationSeparator" w:id="0">
    <w:p w:rsidR="000C4FE9" w:rsidRDefault="000C4FE9"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64136"/>
      <w:docPartObj>
        <w:docPartGallery w:val="Page Numbers (Bottom of Page)"/>
        <w:docPartUnique/>
      </w:docPartObj>
    </w:sdtPr>
    <w:sdtEndPr>
      <w:rPr>
        <w:sz w:val="20"/>
      </w:rPr>
    </w:sdtEndPr>
    <w:sdtContent>
      <w:p w:rsidR="00A80F72" w:rsidRPr="00184576" w:rsidRDefault="00A80F72">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677F66">
          <w:rPr>
            <w:noProof/>
            <w:sz w:val="20"/>
          </w:rPr>
          <w:t>16</w:t>
        </w:r>
        <w:r w:rsidRPr="00184576">
          <w:rPr>
            <w:sz w:val="20"/>
          </w:rPr>
          <w:fldChar w:fldCharType="end"/>
        </w:r>
      </w:p>
    </w:sdtContent>
  </w:sdt>
  <w:p w:rsidR="00A80F72" w:rsidRDefault="00A80F72">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216465"/>
      <w:docPartObj>
        <w:docPartGallery w:val="Page Numbers (Bottom of Page)"/>
        <w:docPartUnique/>
      </w:docPartObj>
    </w:sdtPr>
    <w:sdtEndPr/>
    <w:sdtContent>
      <w:p w:rsidR="00A80F72" w:rsidRDefault="00A80F72">
        <w:pPr>
          <w:pStyle w:val="Zpat"/>
          <w:jc w:val="center"/>
        </w:pPr>
        <w:r>
          <w:fldChar w:fldCharType="begin"/>
        </w:r>
        <w:r>
          <w:instrText>PAGE   \* MERGEFORMAT</w:instrText>
        </w:r>
        <w:r>
          <w:fldChar w:fldCharType="separate"/>
        </w:r>
        <w:r w:rsidR="00677F66">
          <w:rPr>
            <w:noProof/>
          </w:rPr>
          <w:t>1</w:t>
        </w:r>
        <w:r>
          <w:rPr>
            <w:noProof/>
          </w:rPr>
          <w:fldChar w:fldCharType="end"/>
        </w:r>
      </w:p>
    </w:sdtContent>
  </w:sdt>
  <w:p w:rsidR="00A80F72" w:rsidRDefault="00A80F7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F6793D" w:rsidRDefault="00A80F72" w:rsidP="00F6793D">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0A65D6" w:rsidRDefault="00A80F72"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rsidP="00F6793D">
    <w:pPr>
      <w:pStyle w:val="Zpat"/>
      <w:pBdr>
        <w:top w:val="single" w:sz="4" w:space="1" w:color="auto"/>
      </w:pBdr>
      <w:rPr>
        <w:b/>
        <w:i/>
        <w:sz w:val="18"/>
      </w:rPr>
    </w:pPr>
    <w:r>
      <w:rPr>
        <w:b/>
        <w:i/>
        <w:sz w:val="18"/>
      </w:rPr>
      <w:t>Platnost od 29.05.2017                                                                                                           účinnost od 29.05.2017</w:t>
    </w:r>
  </w:p>
  <w:p w:rsidR="00A80F72" w:rsidRDefault="00A80F72" w:rsidP="000A65D6">
    <w:pPr>
      <w:pStyle w:val="Zpat"/>
      <w:tabs>
        <w:tab w:val="left" w:pos="885"/>
      </w:tabs>
    </w:pPr>
    <w:r>
      <w:tab/>
    </w:r>
  </w:p>
  <w:p w:rsidR="00A80F72" w:rsidRDefault="00A80F72">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F6793D" w:rsidRDefault="00A80F72" w:rsidP="00F6793D">
    <w:pPr>
      <w:pStyle w:val="Zpa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184576" w:rsidRDefault="00A80F72">
    <w:pPr>
      <w:pStyle w:val="Zpat"/>
      <w:jc w:val="center"/>
      <w:rPr>
        <w:sz w:val="20"/>
      </w:rPr>
    </w:pPr>
  </w:p>
  <w:p w:rsidR="00A80F72" w:rsidRDefault="00A80F7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E9" w:rsidRDefault="000C4FE9" w:rsidP="003C6092">
      <w:r>
        <w:separator/>
      </w:r>
    </w:p>
  </w:footnote>
  <w:footnote w:type="continuationSeparator" w:id="0">
    <w:p w:rsidR="000C4FE9" w:rsidRDefault="000C4FE9" w:rsidP="003C6092">
      <w:r>
        <w:continuationSeparator/>
      </w:r>
    </w:p>
  </w:footnote>
  <w:footnote w:id="1">
    <w:p w:rsidR="00A80F72" w:rsidRDefault="00A80F72"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A80F72" w:rsidRDefault="00A80F72"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404423" w:rsidRDefault="00A80F72"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80F72" w:rsidTr="00B722D5">
      <w:trPr>
        <w:cantSplit/>
        <w:trHeight w:val="129"/>
        <w:jc w:val="center"/>
      </w:trPr>
      <w:tc>
        <w:tcPr>
          <w:tcW w:w="1856" w:type="dxa"/>
          <w:vMerge w:val="restart"/>
          <w:vAlign w:val="center"/>
        </w:tcPr>
        <w:p w:rsidR="00A80F72" w:rsidRDefault="00A80F72"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A80F72" w:rsidRPr="004F1040" w:rsidRDefault="00A80F72"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A80F72" w:rsidRPr="00BA5BE0" w:rsidRDefault="00A80F72"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A80F72" w:rsidRPr="00733DEB" w:rsidRDefault="00A80F72"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A80F72" w:rsidRPr="004F1040" w:rsidRDefault="00A80F72"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677F66">
            <w:rPr>
              <w:rFonts w:ascii="Calibri" w:hAnsi="Calibri" w:cs="Calibri"/>
              <w:noProof/>
              <w:sz w:val="18"/>
            </w:rPr>
            <w:t>43</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677F66">
            <w:rPr>
              <w:rFonts w:ascii="Calibri" w:hAnsi="Calibri" w:cs="Calibri"/>
              <w:noProof/>
              <w:sz w:val="18"/>
            </w:rPr>
            <w:t>49</w:t>
          </w:r>
          <w:r w:rsidRPr="004F1040">
            <w:rPr>
              <w:rFonts w:ascii="Calibri" w:hAnsi="Calibri" w:cs="Calibri"/>
              <w:sz w:val="18"/>
            </w:rPr>
            <w:fldChar w:fldCharType="end"/>
          </w:r>
          <w:r w:rsidRPr="004F1040">
            <w:rPr>
              <w:rFonts w:ascii="Calibri" w:hAnsi="Calibri" w:cs="Calibri"/>
              <w:sz w:val="18"/>
            </w:rPr>
            <w:t>)</w:t>
          </w:r>
        </w:p>
        <w:p w:rsidR="00A80F72" w:rsidRPr="004F1040" w:rsidRDefault="00A80F72"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A80F72" w:rsidRDefault="00A80F72"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A80F72" w:rsidTr="00B722D5">
      <w:trPr>
        <w:cantSplit/>
        <w:trHeight w:val="129"/>
        <w:jc w:val="center"/>
      </w:trPr>
      <w:tc>
        <w:tcPr>
          <w:tcW w:w="1856" w:type="dxa"/>
          <w:vMerge/>
        </w:tcPr>
        <w:p w:rsidR="00A80F72" w:rsidRDefault="00A80F72" w:rsidP="00B722D5">
          <w:pPr>
            <w:pStyle w:val="Zhlav"/>
            <w:rPr>
              <w:noProof/>
            </w:rPr>
          </w:pPr>
        </w:p>
      </w:tc>
      <w:tc>
        <w:tcPr>
          <w:tcW w:w="5483" w:type="dxa"/>
          <w:vAlign w:val="center"/>
        </w:tcPr>
        <w:p w:rsidR="00A80F72" w:rsidRPr="005E7515" w:rsidRDefault="00A80F72" w:rsidP="00B722D5">
          <w:pPr>
            <w:pStyle w:val="Zhlav"/>
            <w:spacing w:before="60"/>
            <w:jc w:val="center"/>
            <w:rPr>
              <w:b/>
              <w:noProof/>
            </w:rPr>
          </w:pPr>
          <w:r>
            <w:rPr>
              <w:b/>
              <w:noProof/>
            </w:rPr>
            <w:t>R-Sm-36</w:t>
          </w:r>
        </w:p>
      </w:tc>
      <w:tc>
        <w:tcPr>
          <w:tcW w:w="1842" w:type="dxa"/>
          <w:vMerge/>
        </w:tcPr>
        <w:p w:rsidR="00A80F72" w:rsidRDefault="00A80F72" w:rsidP="00B722D5">
          <w:pPr>
            <w:pStyle w:val="Zhlav"/>
            <w:rPr>
              <w:noProof/>
            </w:rPr>
          </w:pPr>
        </w:p>
      </w:tc>
    </w:tr>
  </w:tbl>
  <w:p w:rsidR="00A80F72" w:rsidRDefault="00A80F72"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404423" w:rsidRDefault="00A80F72"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80F72" w:rsidTr="00B722D5">
      <w:trPr>
        <w:cantSplit/>
        <w:trHeight w:val="129"/>
        <w:jc w:val="center"/>
      </w:trPr>
      <w:tc>
        <w:tcPr>
          <w:tcW w:w="1856" w:type="dxa"/>
          <w:vMerge w:val="restart"/>
          <w:vAlign w:val="center"/>
        </w:tcPr>
        <w:p w:rsidR="00A80F72" w:rsidRDefault="00A80F72"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A80F72" w:rsidRPr="004F1040" w:rsidRDefault="00A80F72"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A80F72" w:rsidRPr="00BA5BE0" w:rsidRDefault="00A80F72"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A80F72" w:rsidRPr="00733DEB" w:rsidRDefault="00A80F72"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A80F72" w:rsidRPr="004F1040" w:rsidRDefault="00A80F72"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677F66">
            <w:rPr>
              <w:rFonts w:ascii="Calibri" w:hAnsi="Calibri" w:cs="Calibri"/>
              <w:noProof/>
              <w:sz w:val="18"/>
            </w:rPr>
            <w:t>24</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677F66">
            <w:rPr>
              <w:rFonts w:ascii="Calibri" w:hAnsi="Calibri" w:cs="Calibri"/>
              <w:noProof/>
              <w:sz w:val="18"/>
            </w:rPr>
            <w:t>49</w:t>
          </w:r>
          <w:r w:rsidRPr="004F1040">
            <w:rPr>
              <w:rFonts w:ascii="Calibri" w:hAnsi="Calibri" w:cs="Calibri"/>
              <w:sz w:val="18"/>
            </w:rPr>
            <w:fldChar w:fldCharType="end"/>
          </w:r>
          <w:r w:rsidRPr="004F1040">
            <w:rPr>
              <w:rFonts w:ascii="Calibri" w:hAnsi="Calibri" w:cs="Calibri"/>
              <w:sz w:val="18"/>
            </w:rPr>
            <w:t>)</w:t>
          </w:r>
        </w:p>
        <w:p w:rsidR="00A80F72" w:rsidRPr="004F1040" w:rsidRDefault="00A80F72"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A80F72" w:rsidRDefault="00A80F72"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A80F72" w:rsidTr="00B722D5">
      <w:trPr>
        <w:cantSplit/>
        <w:trHeight w:val="129"/>
        <w:jc w:val="center"/>
      </w:trPr>
      <w:tc>
        <w:tcPr>
          <w:tcW w:w="1856" w:type="dxa"/>
          <w:vMerge/>
        </w:tcPr>
        <w:p w:rsidR="00A80F72" w:rsidRDefault="00A80F72" w:rsidP="00B722D5">
          <w:pPr>
            <w:pStyle w:val="Zhlav"/>
            <w:rPr>
              <w:noProof/>
            </w:rPr>
          </w:pPr>
        </w:p>
      </w:tc>
      <w:tc>
        <w:tcPr>
          <w:tcW w:w="5483" w:type="dxa"/>
          <w:vAlign w:val="center"/>
        </w:tcPr>
        <w:p w:rsidR="00A80F72" w:rsidRPr="005E7515" w:rsidRDefault="00A80F72" w:rsidP="00B722D5">
          <w:pPr>
            <w:pStyle w:val="Zhlav"/>
            <w:spacing w:before="60"/>
            <w:jc w:val="center"/>
            <w:rPr>
              <w:b/>
              <w:noProof/>
            </w:rPr>
          </w:pPr>
          <w:r>
            <w:rPr>
              <w:b/>
              <w:noProof/>
            </w:rPr>
            <w:t>R-Sm-36</w:t>
          </w:r>
        </w:p>
      </w:tc>
      <w:tc>
        <w:tcPr>
          <w:tcW w:w="1842" w:type="dxa"/>
          <w:vMerge/>
        </w:tcPr>
        <w:p w:rsidR="00A80F72" w:rsidRDefault="00A80F72" w:rsidP="00B722D5">
          <w:pPr>
            <w:pStyle w:val="Zhlav"/>
            <w:rPr>
              <w:noProof/>
            </w:rPr>
          </w:pPr>
        </w:p>
      </w:tc>
    </w:tr>
  </w:tbl>
  <w:p w:rsidR="00A80F72" w:rsidRDefault="00A80F72">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B722D5" w:rsidRDefault="00A80F72" w:rsidP="00B722D5">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CB" w:rsidRDefault="00BF58CB"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A43"/>
    <w:rsid w:val="00011C1B"/>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C4FE9"/>
    <w:rsid w:val="000E0ADF"/>
    <w:rsid w:val="000E2C43"/>
    <w:rsid w:val="000E44A9"/>
    <w:rsid w:val="000E4F5B"/>
    <w:rsid w:val="000E5C6A"/>
    <w:rsid w:val="000F2430"/>
    <w:rsid w:val="001010F5"/>
    <w:rsid w:val="00111620"/>
    <w:rsid w:val="001142F9"/>
    <w:rsid w:val="001148A1"/>
    <w:rsid w:val="00114929"/>
    <w:rsid w:val="001171D3"/>
    <w:rsid w:val="001208BC"/>
    <w:rsid w:val="0012359E"/>
    <w:rsid w:val="0013501B"/>
    <w:rsid w:val="00140E9C"/>
    <w:rsid w:val="00144EF4"/>
    <w:rsid w:val="001451BC"/>
    <w:rsid w:val="001528C2"/>
    <w:rsid w:val="001552DE"/>
    <w:rsid w:val="00156B62"/>
    <w:rsid w:val="00166030"/>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5E31"/>
    <w:rsid w:val="00236B0B"/>
    <w:rsid w:val="00242B0F"/>
    <w:rsid w:val="00243C55"/>
    <w:rsid w:val="00244AE5"/>
    <w:rsid w:val="00245283"/>
    <w:rsid w:val="002463D5"/>
    <w:rsid w:val="00251314"/>
    <w:rsid w:val="00254C18"/>
    <w:rsid w:val="00264527"/>
    <w:rsid w:val="00264CCC"/>
    <w:rsid w:val="002677F2"/>
    <w:rsid w:val="00272B32"/>
    <w:rsid w:val="002731F1"/>
    <w:rsid w:val="00273A66"/>
    <w:rsid w:val="00275154"/>
    <w:rsid w:val="0028428B"/>
    <w:rsid w:val="0028711E"/>
    <w:rsid w:val="00287F7F"/>
    <w:rsid w:val="00297A64"/>
    <w:rsid w:val="002A4390"/>
    <w:rsid w:val="002B0BFD"/>
    <w:rsid w:val="002B3015"/>
    <w:rsid w:val="002B3EAB"/>
    <w:rsid w:val="002C3826"/>
    <w:rsid w:val="002C3CCD"/>
    <w:rsid w:val="002C5F9C"/>
    <w:rsid w:val="002E0CED"/>
    <w:rsid w:val="002E74D3"/>
    <w:rsid w:val="002F41A6"/>
    <w:rsid w:val="002F7245"/>
    <w:rsid w:val="00300CBE"/>
    <w:rsid w:val="00307142"/>
    <w:rsid w:val="00312D40"/>
    <w:rsid w:val="00313BF9"/>
    <w:rsid w:val="003140BB"/>
    <w:rsid w:val="0031453D"/>
    <w:rsid w:val="00323AAC"/>
    <w:rsid w:val="003264C2"/>
    <w:rsid w:val="0032654D"/>
    <w:rsid w:val="00327872"/>
    <w:rsid w:val="00327A80"/>
    <w:rsid w:val="00331A48"/>
    <w:rsid w:val="00334AAD"/>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52681"/>
    <w:rsid w:val="00453B0B"/>
    <w:rsid w:val="00453DC6"/>
    <w:rsid w:val="004644D9"/>
    <w:rsid w:val="0047147B"/>
    <w:rsid w:val="00472CF8"/>
    <w:rsid w:val="0048264B"/>
    <w:rsid w:val="00483364"/>
    <w:rsid w:val="004859D2"/>
    <w:rsid w:val="00486E7B"/>
    <w:rsid w:val="00494AFE"/>
    <w:rsid w:val="004969E9"/>
    <w:rsid w:val="00497FDC"/>
    <w:rsid w:val="004A3364"/>
    <w:rsid w:val="004B1F71"/>
    <w:rsid w:val="004B4359"/>
    <w:rsid w:val="004B6BDC"/>
    <w:rsid w:val="004C0A48"/>
    <w:rsid w:val="004C18D9"/>
    <w:rsid w:val="004D39CC"/>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56B74"/>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B0DC8"/>
    <w:rsid w:val="005B5363"/>
    <w:rsid w:val="005B60C6"/>
    <w:rsid w:val="005C3D5F"/>
    <w:rsid w:val="005C720D"/>
    <w:rsid w:val="005D741D"/>
    <w:rsid w:val="005E1494"/>
    <w:rsid w:val="005E2F69"/>
    <w:rsid w:val="005E3AF9"/>
    <w:rsid w:val="005E6CD0"/>
    <w:rsid w:val="005E7A2F"/>
    <w:rsid w:val="005F1EE1"/>
    <w:rsid w:val="005F4872"/>
    <w:rsid w:val="005F5607"/>
    <w:rsid w:val="00605128"/>
    <w:rsid w:val="0060740E"/>
    <w:rsid w:val="00613CD8"/>
    <w:rsid w:val="00614507"/>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77F66"/>
    <w:rsid w:val="00680110"/>
    <w:rsid w:val="00684200"/>
    <w:rsid w:val="00687930"/>
    <w:rsid w:val="006931B3"/>
    <w:rsid w:val="00694123"/>
    <w:rsid w:val="006A44AB"/>
    <w:rsid w:val="006A6E3E"/>
    <w:rsid w:val="006A7D3B"/>
    <w:rsid w:val="006B00EA"/>
    <w:rsid w:val="006B5859"/>
    <w:rsid w:val="006C3753"/>
    <w:rsid w:val="006C6275"/>
    <w:rsid w:val="006D6CFD"/>
    <w:rsid w:val="006E1763"/>
    <w:rsid w:val="006E236A"/>
    <w:rsid w:val="006E3748"/>
    <w:rsid w:val="006F236C"/>
    <w:rsid w:val="006F23D7"/>
    <w:rsid w:val="006F7D7F"/>
    <w:rsid w:val="0070196C"/>
    <w:rsid w:val="00701D52"/>
    <w:rsid w:val="00703178"/>
    <w:rsid w:val="00704B29"/>
    <w:rsid w:val="00705473"/>
    <w:rsid w:val="00707492"/>
    <w:rsid w:val="0071173F"/>
    <w:rsid w:val="0071363C"/>
    <w:rsid w:val="00713E25"/>
    <w:rsid w:val="007144FD"/>
    <w:rsid w:val="00715994"/>
    <w:rsid w:val="0071603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3847"/>
    <w:rsid w:val="007844E8"/>
    <w:rsid w:val="00786C46"/>
    <w:rsid w:val="00794CBA"/>
    <w:rsid w:val="00796842"/>
    <w:rsid w:val="00797B69"/>
    <w:rsid w:val="007A33D1"/>
    <w:rsid w:val="007A6AF9"/>
    <w:rsid w:val="007A75AE"/>
    <w:rsid w:val="007B79C6"/>
    <w:rsid w:val="007C1E9F"/>
    <w:rsid w:val="007C3A3B"/>
    <w:rsid w:val="007C452C"/>
    <w:rsid w:val="007D205C"/>
    <w:rsid w:val="007D2E24"/>
    <w:rsid w:val="007D3ED1"/>
    <w:rsid w:val="007D40BE"/>
    <w:rsid w:val="007E709C"/>
    <w:rsid w:val="007F1596"/>
    <w:rsid w:val="007F3FA9"/>
    <w:rsid w:val="008060C5"/>
    <w:rsid w:val="008130CF"/>
    <w:rsid w:val="00813633"/>
    <w:rsid w:val="008237B3"/>
    <w:rsid w:val="008240AB"/>
    <w:rsid w:val="008306F6"/>
    <w:rsid w:val="00833EA9"/>
    <w:rsid w:val="00840CE7"/>
    <w:rsid w:val="0085192C"/>
    <w:rsid w:val="00854FEF"/>
    <w:rsid w:val="0085681E"/>
    <w:rsid w:val="00862740"/>
    <w:rsid w:val="00870C00"/>
    <w:rsid w:val="00873413"/>
    <w:rsid w:val="00875D8A"/>
    <w:rsid w:val="00881163"/>
    <w:rsid w:val="00886D35"/>
    <w:rsid w:val="00886F28"/>
    <w:rsid w:val="00887CD4"/>
    <w:rsid w:val="00891306"/>
    <w:rsid w:val="0089494B"/>
    <w:rsid w:val="008A1ADE"/>
    <w:rsid w:val="008B5CC9"/>
    <w:rsid w:val="008C1E83"/>
    <w:rsid w:val="008C374D"/>
    <w:rsid w:val="008C78FE"/>
    <w:rsid w:val="008D1A0C"/>
    <w:rsid w:val="008D2839"/>
    <w:rsid w:val="008D38F0"/>
    <w:rsid w:val="008D48F4"/>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57C1"/>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276CB"/>
    <w:rsid w:val="00B27708"/>
    <w:rsid w:val="00B338D9"/>
    <w:rsid w:val="00B5011F"/>
    <w:rsid w:val="00B52343"/>
    <w:rsid w:val="00B527B0"/>
    <w:rsid w:val="00B57317"/>
    <w:rsid w:val="00B65489"/>
    <w:rsid w:val="00B722D5"/>
    <w:rsid w:val="00B80932"/>
    <w:rsid w:val="00B83998"/>
    <w:rsid w:val="00B91245"/>
    <w:rsid w:val="00B9314D"/>
    <w:rsid w:val="00B93550"/>
    <w:rsid w:val="00B947E5"/>
    <w:rsid w:val="00BA0DDD"/>
    <w:rsid w:val="00BA2ECF"/>
    <w:rsid w:val="00BA49CE"/>
    <w:rsid w:val="00BB082C"/>
    <w:rsid w:val="00BB308B"/>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5840"/>
    <w:rsid w:val="00C977DB"/>
    <w:rsid w:val="00CA04F3"/>
    <w:rsid w:val="00CA3D47"/>
    <w:rsid w:val="00CA70FA"/>
    <w:rsid w:val="00CA7953"/>
    <w:rsid w:val="00CC2082"/>
    <w:rsid w:val="00CC2A79"/>
    <w:rsid w:val="00CC7957"/>
    <w:rsid w:val="00CD1001"/>
    <w:rsid w:val="00CD25FA"/>
    <w:rsid w:val="00CD37B7"/>
    <w:rsid w:val="00CD7A24"/>
    <w:rsid w:val="00CE28AD"/>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D2117"/>
    <w:rsid w:val="00DE1557"/>
    <w:rsid w:val="00DE52F9"/>
    <w:rsid w:val="00DE5E30"/>
    <w:rsid w:val="00DE5FAB"/>
    <w:rsid w:val="00DF217C"/>
    <w:rsid w:val="00E0056F"/>
    <w:rsid w:val="00E006DF"/>
    <w:rsid w:val="00E00A2B"/>
    <w:rsid w:val="00E03D24"/>
    <w:rsid w:val="00E05A4F"/>
    <w:rsid w:val="00E16982"/>
    <w:rsid w:val="00E20287"/>
    <w:rsid w:val="00E21253"/>
    <w:rsid w:val="00E23682"/>
    <w:rsid w:val="00E23F7D"/>
    <w:rsid w:val="00E254ED"/>
    <w:rsid w:val="00E32D05"/>
    <w:rsid w:val="00E34BB5"/>
    <w:rsid w:val="00E407C2"/>
    <w:rsid w:val="00E42464"/>
    <w:rsid w:val="00E42A24"/>
    <w:rsid w:val="00E43F51"/>
    <w:rsid w:val="00E45ADE"/>
    <w:rsid w:val="00E5387E"/>
    <w:rsid w:val="00E549A5"/>
    <w:rsid w:val="00E65E5C"/>
    <w:rsid w:val="00E66153"/>
    <w:rsid w:val="00E73E96"/>
    <w:rsid w:val="00E76243"/>
    <w:rsid w:val="00E80610"/>
    <w:rsid w:val="00E90B02"/>
    <w:rsid w:val="00E925A0"/>
    <w:rsid w:val="00E96367"/>
    <w:rsid w:val="00E96A8A"/>
    <w:rsid w:val="00E9775F"/>
    <w:rsid w:val="00EA11B9"/>
    <w:rsid w:val="00EA54CE"/>
    <w:rsid w:val="00EA7171"/>
    <w:rsid w:val="00EB787D"/>
    <w:rsid w:val="00EB7AC0"/>
    <w:rsid w:val="00EC0042"/>
    <w:rsid w:val="00EC0FB0"/>
    <w:rsid w:val="00EC112F"/>
    <w:rsid w:val="00EC319A"/>
    <w:rsid w:val="00ED531E"/>
    <w:rsid w:val="00ED580B"/>
    <w:rsid w:val="00ED5BB0"/>
    <w:rsid w:val="00ED6D55"/>
    <w:rsid w:val="00EE4889"/>
    <w:rsid w:val="00EE500F"/>
    <w:rsid w:val="00EE56D2"/>
    <w:rsid w:val="00EE62B1"/>
    <w:rsid w:val="00EE7A74"/>
    <w:rsid w:val="00EF1378"/>
    <w:rsid w:val="00EF1825"/>
    <w:rsid w:val="00EF32AA"/>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5F8D"/>
    <w:rsid w:val="00FA764D"/>
    <w:rsid w:val="00FB2064"/>
    <w:rsid w:val="00FB2565"/>
    <w:rsid w:val="00FB2726"/>
    <w:rsid w:val="00FB29EA"/>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9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a.konvalinkova@ksus.cz%20"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image" Target="media/image6.wmf"/><Relationship Id="rId38"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package" Target="embeddings/List_aplikace_Microsoft_Excel.xlsx"/><Relationship Id="rId40"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roslava.jurkova@ksus.cz" TargetMode="External"/><Relationship Id="rId22" Type="http://schemas.openxmlformats.org/officeDocument/2006/relationships/footer" Target="footer4.xml"/><Relationship Id="rId27" Type="http://schemas.openxmlformats.org/officeDocument/2006/relationships/hyperlink" Target="https://smlouvy.gov.cz/" TargetMode="External"/><Relationship Id="rId30" Type="http://schemas.openxmlformats.org/officeDocument/2006/relationships/image" Target="media/image4.wmf"/><Relationship Id="rId35"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64CDE9A7-0723-4C08-BAA8-C0A1F871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14424</Words>
  <Characters>85103</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2019-06-27T06:15:00Z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