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0BC1" w14:textId="35D6960F" w:rsidR="008424AD" w:rsidRDefault="008424AD" w:rsidP="008424A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 M L O U V A   O   D Í L </w:t>
      </w:r>
      <w:proofErr w:type="gramStart"/>
      <w:r>
        <w:rPr>
          <w:b/>
          <w:sz w:val="24"/>
          <w:szCs w:val="24"/>
        </w:rPr>
        <w:t>O</w:t>
      </w:r>
      <w:r w:rsidR="0022786A">
        <w:rPr>
          <w:b/>
          <w:sz w:val="24"/>
          <w:szCs w:val="24"/>
        </w:rPr>
        <w:t xml:space="preserve"> </w:t>
      </w:r>
      <w:r w:rsidR="00B17F70">
        <w:rPr>
          <w:b/>
          <w:sz w:val="24"/>
          <w:szCs w:val="24"/>
        </w:rPr>
        <w:t>- návrh</w:t>
      </w:r>
      <w:proofErr w:type="gramEnd"/>
    </w:p>
    <w:p w14:paraId="2C92E6E5" w14:textId="25EA115A" w:rsidR="008424AD" w:rsidRDefault="008424AD" w:rsidP="008424AD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="00997308" w:rsidRPr="005A105E">
        <w:rPr>
          <w:b/>
          <w:sz w:val="24"/>
        </w:rPr>
        <w:t xml:space="preserve">Odbahnění mokřadu v EVL a PP Jablonná </w:t>
      </w:r>
      <w:r w:rsidR="00934325">
        <w:rPr>
          <w:b/>
          <w:sz w:val="24"/>
        </w:rPr>
        <w:t>–</w:t>
      </w:r>
      <w:r w:rsidR="00997308" w:rsidRPr="005A105E">
        <w:rPr>
          <w:b/>
          <w:sz w:val="24"/>
        </w:rPr>
        <w:t xml:space="preserve"> mokřad</w:t>
      </w:r>
      <w:r w:rsidR="00934325">
        <w:rPr>
          <w:b/>
          <w:sz w:val="24"/>
        </w:rPr>
        <w:t xml:space="preserve"> – deponace na </w:t>
      </w:r>
      <w:proofErr w:type="spellStart"/>
      <w:r w:rsidR="008007E1">
        <w:rPr>
          <w:b/>
          <w:sz w:val="24"/>
        </w:rPr>
        <w:t>batrochologickou</w:t>
      </w:r>
      <w:proofErr w:type="spellEnd"/>
      <w:r w:rsidR="00934325">
        <w:rPr>
          <w:b/>
          <w:sz w:val="24"/>
        </w:rPr>
        <w:t xml:space="preserve"> stanici</w:t>
      </w:r>
      <w:r>
        <w:rPr>
          <w:b/>
          <w:sz w:val="24"/>
          <w:szCs w:val="24"/>
        </w:rPr>
        <w:t>“</w:t>
      </w:r>
    </w:p>
    <w:p w14:paraId="091EB4ED" w14:textId="3094FBBB" w:rsidR="008424AD" w:rsidRDefault="008424AD" w:rsidP="008424AD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podle § 2586 a násl. zákona č. 89/2012 Sb., občanský zákoník</w:t>
      </w:r>
      <w:r w:rsidR="002B0D91">
        <w:rPr>
          <w:sz w:val="24"/>
          <w:szCs w:val="24"/>
        </w:rPr>
        <w:t xml:space="preserve">, ve znění pozdějších </w:t>
      </w:r>
      <w:proofErr w:type="gramStart"/>
      <w:r w:rsidR="002B0D91">
        <w:rPr>
          <w:sz w:val="24"/>
          <w:szCs w:val="24"/>
        </w:rPr>
        <w:t xml:space="preserve">předpisů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dále jen „občanský zákoník“)</w:t>
      </w:r>
    </w:p>
    <w:p w14:paraId="7A0FA037" w14:textId="77777777" w:rsidR="008424AD" w:rsidRDefault="008424AD" w:rsidP="008424AD">
      <w:pPr>
        <w:jc w:val="center"/>
        <w:rPr>
          <w:sz w:val="24"/>
          <w:szCs w:val="24"/>
        </w:rPr>
      </w:pPr>
    </w:p>
    <w:p w14:paraId="4482600E" w14:textId="4698652E" w:rsidR="008424AD" w:rsidRDefault="008424AD" w:rsidP="00842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evidenční číslo smlouvy: </w:t>
      </w:r>
      <w:proofErr w:type="gramStart"/>
      <w:r w:rsidR="00997308">
        <w:rPr>
          <w:b/>
          <w:sz w:val="24"/>
          <w:szCs w:val="24"/>
        </w:rPr>
        <w:t>…….</w:t>
      </w:r>
      <w:proofErr w:type="gramEnd"/>
      <w:r w:rsidR="00997308">
        <w:rPr>
          <w:b/>
          <w:sz w:val="24"/>
          <w:szCs w:val="24"/>
        </w:rPr>
        <w:t>.</w:t>
      </w:r>
      <w:r w:rsidR="007157FB">
        <w:rPr>
          <w:b/>
          <w:sz w:val="24"/>
          <w:szCs w:val="24"/>
        </w:rPr>
        <w:t>/OŽP/201</w:t>
      </w:r>
      <w:r w:rsidR="00B17F70">
        <w:rPr>
          <w:b/>
          <w:sz w:val="24"/>
          <w:szCs w:val="24"/>
        </w:rPr>
        <w:t>9</w:t>
      </w:r>
      <w:bookmarkStart w:id="0" w:name="_GoBack"/>
      <w:bookmarkEnd w:id="0"/>
    </w:p>
    <w:p w14:paraId="58ABDF83" w14:textId="77777777" w:rsidR="008424AD" w:rsidRDefault="008424AD" w:rsidP="008424AD">
      <w:pPr>
        <w:jc w:val="both"/>
        <w:rPr>
          <w:sz w:val="24"/>
          <w:szCs w:val="24"/>
          <w:u w:val="single"/>
        </w:rPr>
      </w:pPr>
    </w:p>
    <w:p w14:paraId="54AA8A0B" w14:textId="77777777" w:rsidR="008424AD" w:rsidRDefault="008424AD" w:rsidP="008424AD">
      <w:pPr>
        <w:ind w:left="708" w:hanging="705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Y="4865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8424AD" w:rsidRPr="00402046" w14:paraId="422F82D2" w14:textId="77777777" w:rsidTr="00AB4269">
        <w:trPr>
          <w:trHeight w:val="851"/>
        </w:trPr>
        <w:tc>
          <w:tcPr>
            <w:tcW w:w="423" w:type="dxa"/>
          </w:tcPr>
          <w:p w14:paraId="2D7E9F97" w14:textId="77777777" w:rsidR="008424AD" w:rsidRPr="00402046" w:rsidRDefault="008424AD" w:rsidP="00AB4269">
            <w:pPr>
              <w:jc w:val="center"/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14:paraId="6DBD244B" w14:textId="77777777" w:rsidR="008424AD" w:rsidRPr="00402046" w:rsidRDefault="008424AD" w:rsidP="00AB4269">
            <w:pPr>
              <w:rPr>
                <w:b/>
                <w:sz w:val="24"/>
                <w:szCs w:val="24"/>
              </w:rPr>
            </w:pPr>
            <w:r w:rsidRPr="00402046">
              <w:rPr>
                <w:b/>
                <w:sz w:val="24"/>
                <w:szCs w:val="24"/>
              </w:rPr>
              <w:t>Objednatel:</w:t>
            </w:r>
          </w:p>
        </w:tc>
        <w:tc>
          <w:tcPr>
            <w:tcW w:w="4677" w:type="dxa"/>
          </w:tcPr>
          <w:p w14:paraId="0C26332E" w14:textId="77777777" w:rsidR="008424AD" w:rsidRPr="00402046" w:rsidRDefault="008424AD" w:rsidP="00AB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Středočeský kraj</w:t>
            </w:r>
          </w:p>
          <w:p w14:paraId="30862EC6" w14:textId="77777777" w:rsidR="008424AD" w:rsidRPr="00402046" w:rsidRDefault="008424AD" w:rsidP="00AB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Zborovská 11</w:t>
            </w:r>
          </w:p>
          <w:p w14:paraId="26BD2B36" w14:textId="77777777" w:rsidR="008424AD" w:rsidRPr="00402046" w:rsidRDefault="008424AD" w:rsidP="00AB4269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 21 </w:t>
            </w:r>
            <w:r w:rsidRPr="00402046">
              <w:rPr>
                <w:sz w:val="24"/>
                <w:szCs w:val="24"/>
              </w:rPr>
              <w:t>Praha 5</w:t>
            </w:r>
          </w:p>
        </w:tc>
      </w:tr>
      <w:tr w:rsidR="008424AD" w:rsidRPr="00402046" w14:paraId="570F340F" w14:textId="77777777" w:rsidTr="00AB4269">
        <w:tc>
          <w:tcPr>
            <w:tcW w:w="423" w:type="dxa"/>
          </w:tcPr>
          <w:p w14:paraId="33BA81B7" w14:textId="77777777" w:rsidR="008424AD" w:rsidRPr="00402046" w:rsidRDefault="008424AD" w:rsidP="00AB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150F11A4" w14:textId="77777777" w:rsidR="008424AD" w:rsidRPr="00402046" w:rsidRDefault="008424AD" w:rsidP="00AB4269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Smluvně oprávněn jednat:</w:t>
            </w:r>
          </w:p>
        </w:tc>
        <w:tc>
          <w:tcPr>
            <w:tcW w:w="4677" w:type="dxa"/>
          </w:tcPr>
          <w:p w14:paraId="7E2470FA" w14:textId="77777777" w:rsidR="008424AD" w:rsidRPr="00402046" w:rsidRDefault="008424AD" w:rsidP="00AB4269">
            <w:pPr>
              <w:rPr>
                <w:sz w:val="24"/>
                <w:szCs w:val="24"/>
              </w:rPr>
            </w:pPr>
            <w:r w:rsidRPr="00D43C04">
              <w:rPr>
                <w:sz w:val="24"/>
                <w:szCs w:val="24"/>
              </w:rPr>
              <w:t xml:space="preserve">Ing. Miloš </w:t>
            </w:r>
            <w:proofErr w:type="gramStart"/>
            <w:r w:rsidRPr="00D43C04">
              <w:rPr>
                <w:sz w:val="24"/>
                <w:szCs w:val="24"/>
              </w:rPr>
              <w:t>Petera - statutární</w:t>
            </w:r>
            <w:proofErr w:type="gramEnd"/>
            <w:r w:rsidRPr="00D43C04">
              <w:rPr>
                <w:sz w:val="24"/>
                <w:szCs w:val="24"/>
              </w:rPr>
              <w:t xml:space="preserve"> zástupce hejtmanky a náměstek hejtmanky pro oblast životního prostředí a zemědělství</w:t>
            </w:r>
          </w:p>
        </w:tc>
      </w:tr>
      <w:tr w:rsidR="008424AD" w:rsidRPr="00402046" w14:paraId="5F41CECC" w14:textId="77777777" w:rsidTr="00AB4269">
        <w:tc>
          <w:tcPr>
            <w:tcW w:w="423" w:type="dxa"/>
          </w:tcPr>
          <w:p w14:paraId="7D4D0C6C" w14:textId="77777777" w:rsidR="008424AD" w:rsidRPr="00402046" w:rsidRDefault="008424AD" w:rsidP="00AB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0FE2776F" w14:textId="77777777" w:rsidR="008424AD" w:rsidRPr="00402046" w:rsidRDefault="008424AD" w:rsidP="00AB4269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Bankovní spojení:</w:t>
            </w:r>
          </w:p>
        </w:tc>
        <w:tc>
          <w:tcPr>
            <w:tcW w:w="4677" w:type="dxa"/>
          </w:tcPr>
          <w:p w14:paraId="7E0C9BE3" w14:textId="77777777" w:rsidR="008424AD" w:rsidRPr="00402046" w:rsidRDefault="008424AD" w:rsidP="00AB4269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PPF banka, a.s.</w:t>
            </w:r>
          </w:p>
          <w:p w14:paraId="44C54701" w14:textId="77777777" w:rsidR="008424AD" w:rsidRPr="00402046" w:rsidRDefault="008424AD" w:rsidP="00AB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Evropská 2690/17, P. O. Box 177</w:t>
            </w:r>
            <w:r>
              <w:rPr>
                <w:sz w:val="24"/>
                <w:szCs w:val="24"/>
              </w:rPr>
              <w:br/>
            </w:r>
            <w:r w:rsidRPr="00402046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> </w:t>
            </w:r>
            <w:r w:rsidRPr="00402046">
              <w:rPr>
                <w:sz w:val="24"/>
                <w:szCs w:val="24"/>
              </w:rPr>
              <w:t>41 Praha 6</w:t>
            </w:r>
          </w:p>
        </w:tc>
      </w:tr>
      <w:tr w:rsidR="008424AD" w:rsidRPr="00402046" w14:paraId="7C7861BB" w14:textId="77777777" w:rsidTr="00AB4269">
        <w:tc>
          <w:tcPr>
            <w:tcW w:w="423" w:type="dxa"/>
          </w:tcPr>
          <w:p w14:paraId="7AA7555A" w14:textId="77777777" w:rsidR="008424AD" w:rsidRPr="00402046" w:rsidRDefault="008424AD" w:rsidP="00AB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00825775" w14:textId="77777777" w:rsidR="008424AD" w:rsidRPr="00402046" w:rsidRDefault="008424AD" w:rsidP="00AB4269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Číslo účtu:</w:t>
            </w:r>
          </w:p>
        </w:tc>
        <w:tc>
          <w:tcPr>
            <w:tcW w:w="4677" w:type="dxa"/>
          </w:tcPr>
          <w:p w14:paraId="2361DD6D" w14:textId="77777777" w:rsidR="008424AD" w:rsidRPr="00402046" w:rsidRDefault="008424AD" w:rsidP="00AB4269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4440009090/6000</w:t>
            </w:r>
          </w:p>
        </w:tc>
      </w:tr>
      <w:tr w:rsidR="008424AD" w:rsidRPr="00402046" w14:paraId="04707F4B" w14:textId="77777777" w:rsidTr="00AB4269">
        <w:tc>
          <w:tcPr>
            <w:tcW w:w="423" w:type="dxa"/>
          </w:tcPr>
          <w:p w14:paraId="314A450C" w14:textId="77777777" w:rsidR="008424AD" w:rsidRPr="00402046" w:rsidRDefault="008424AD" w:rsidP="00AB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0947B434" w14:textId="77777777" w:rsidR="008424AD" w:rsidRPr="00402046" w:rsidRDefault="008424AD" w:rsidP="00AB4269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IČ:</w:t>
            </w:r>
          </w:p>
        </w:tc>
        <w:tc>
          <w:tcPr>
            <w:tcW w:w="4677" w:type="dxa"/>
          </w:tcPr>
          <w:p w14:paraId="1ED8F660" w14:textId="77777777" w:rsidR="008424AD" w:rsidRPr="00402046" w:rsidRDefault="008424AD" w:rsidP="00AB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7089</w:t>
            </w:r>
            <w:r w:rsidRPr="00402046">
              <w:rPr>
                <w:sz w:val="24"/>
                <w:szCs w:val="24"/>
              </w:rPr>
              <w:t>1095</w:t>
            </w:r>
          </w:p>
        </w:tc>
      </w:tr>
      <w:tr w:rsidR="008424AD" w:rsidRPr="00402046" w14:paraId="6EF135EA" w14:textId="77777777" w:rsidTr="00AB4269">
        <w:tc>
          <w:tcPr>
            <w:tcW w:w="423" w:type="dxa"/>
          </w:tcPr>
          <w:p w14:paraId="6AD01F7C" w14:textId="77777777" w:rsidR="008424AD" w:rsidRPr="00402046" w:rsidRDefault="008424AD" w:rsidP="00AB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4D54BD93" w14:textId="77777777" w:rsidR="008424AD" w:rsidRPr="00402046" w:rsidRDefault="008424AD" w:rsidP="00AB4269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(dále jen „objednatel“)</w:t>
            </w:r>
          </w:p>
        </w:tc>
        <w:tc>
          <w:tcPr>
            <w:tcW w:w="4677" w:type="dxa"/>
          </w:tcPr>
          <w:p w14:paraId="46F98F09" w14:textId="77777777" w:rsidR="008424AD" w:rsidRPr="00402046" w:rsidRDefault="008424AD" w:rsidP="00AB4269">
            <w:pPr>
              <w:rPr>
                <w:sz w:val="24"/>
                <w:szCs w:val="24"/>
              </w:rPr>
            </w:pPr>
          </w:p>
        </w:tc>
      </w:tr>
      <w:tr w:rsidR="008424AD" w:rsidRPr="00402046" w14:paraId="5F3D8387" w14:textId="77777777" w:rsidTr="00AB4269">
        <w:tc>
          <w:tcPr>
            <w:tcW w:w="423" w:type="dxa"/>
          </w:tcPr>
          <w:p w14:paraId="36AE568F" w14:textId="77777777" w:rsidR="008424AD" w:rsidRPr="00402046" w:rsidRDefault="008424AD" w:rsidP="00AB4269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593B6BDD" w14:textId="77777777" w:rsidR="008424AD" w:rsidRPr="00402046" w:rsidRDefault="008424AD" w:rsidP="00AB4269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V technických věcech oprávněn</w:t>
            </w:r>
          </w:p>
          <w:p w14:paraId="57A5D4CD" w14:textId="77777777" w:rsidR="008424AD" w:rsidRPr="00402046" w:rsidRDefault="008424AD" w:rsidP="00AB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jednat:</w:t>
            </w:r>
          </w:p>
        </w:tc>
        <w:tc>
          <w:tcPr>
            <w:tcW w:w="4677" w:type="dxa"/>
            <w:shd w:val="clear" w:color="auto" w:fill="auto"/>
          </w:tcPr>
          <w:p w14:paraId="0FE19C4F" w14:textId="77777777" w:rsidR="008424AD" w:rsidRPr="00402046" w:rsidRDefault="008424AD" w:rsidP="00AB4269">
            <w:pPr>
              <w:rPr>
                <w:sz w:val="24"/>
                <w:szCs w:val="24"/>
                <w:highlight w:val="red"/>
              </w:rPr>
            </w:pPr>
            <w:r w:rsidRPr="00402046">
              <w:rPr>
                <w:sz w:val="24"/>
                <w:szCs w:val="24"/>
              </w:rPr>
              <w:t xml:space="preserve">Ing. </w:t>
            </w:r>
            <w:proofErr w:type="gramStart"/>
            <w:r w:rsidRPr="00402046">
              <w:rPr>
                <w:sz w:val="24"/>
                <w:szCs w:val="24"/>
              </w:rPr>
              <w:t>Josef  K</w:t>
            </w:r>
            <w:proofErr w:type="gramEnd"/>
            <w:r w:rsidRPr="00402046">
              <w:rPr>
                <w:sz w:val="24"/>
                <w:szCs w:val="24"/>
              </w:rPr>
              <w:t xml:space="preserve"> e ř k a, Ph.D.,</w:t>
            </w:r>
          </w:p>
          <w:p w14:paraId="5D364263" w14:textId="77777777" w:rsidR="008424AD" w:rsidRPr="00402046" w:rsidRDefault="008424AD" w:rsidP="00AB4269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 xml:space="preserve">vedoucí odboru </w:t>
            </w:r>
            <w:proofErr w:type="spellStart"/>
            <w:r w:rsidRPr="00402046">
              <w:rPr>
                <w:sz w:val="24"/>
                <w:szCs w:val="24"/>
              </w:rPr>
              <w:t>ŽPaZ</w:t>
            </w:r>
            <w:proofErr w:type="spellEnd"/>
          </w:p>
          <w:p w14:paraId="28C7B7EB" w14:textId="795A7D90" w:rsidR="009A5206" w:rsidRDefault="009A5206" w:rsidP="009A5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Kateřina Puršová</w:t>
            </w:r>
            <w:r w:rsidR="002B0D91">
              <w:rPr>
                <w:sz w:val="24"/>
                <w:szCs w:val="24"/>
              </w:rPr>
              <w:t>, referentka oddělení</w:t>
            </w:r>
            <w:r>
              <w:rPr>
                <w:sz w:val="24"/>
                <w:szCs w:val="24"/>
              </w:rPr>
              <w:t xml:space="preserve"> přírody a krajiny</w:t>
            </w:r>
          </w:p>
          <w:p w14:paraId="0ECCBB63" w14:textId="10E76E77" w:rsidR="008424AD" w:rsidRPr="00FE1A27" w:rsidRDefault="009A5206" w:rsidP="009A5206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pursova@kr-s.cz</w:t>
            </w:r>
          </w:p>
        </w:tc>
      </w:tr>
      <w:tr w:rsidR="00D02578" w:rsidRPr="00402046" w14:paraId="50959C90" w14:textId="77777777" w:rsidTr="00AB4269">
        <w:tc>
          <w:tcPr>
            <w:tcW w:w="423" w:type="dxa"/>
          </w:tcPr>
          <w:p w14:paraId="55EBC595" w14:textId="77777777" w:rsidR="00D02578" w:rsidRPr="00402046" w:rsidRDefault="00D02578" w:rsidP="00AB4269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5107C26A" w14:textId="77777777" w:rsidR="00D02578" w:rsidRPr="00402046" w:rsidRDefault="00D02578" w:rsidP="00AB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Biologický dozor objednatele:</w:t>
            </w:r>
          </w:p>
        </w:tc>
        <w:tc>
          <w:tcPr>
            <w:tcW w:w="4677" w:type="dxa"/>
            <w:shd w:val="clear" w:color="auto" w:fill="auto"/>
          </w:tcPr>
          <w:p w14:paraId="31BA3BD1" w14:textId="77777777" w:rsidR="00D02578" w:rsidRPr="00402046" w:rsidRDefault="00D02578" w:rsidP="00AB4269">
            <w:pPr>
              <w:rPr>
                <w:sz w:val="24"/>
                <w:szCs w:val="24"/>
              </w:rPr>
            </w:pPr>
          </w:p>
        </w:tc>
      </w:tr>
      <w:tr w:rsidR="00D02578" w:rsidRPr="00402046" w14:paraId="5550B592" w14:textId="77777777" w:rsidTr="00AB4269">
        <w:tc>
          <w:tcPr>
            <w:tcW w:w="423" w:type="dxa"/>
          </w:tcPr>
          <w:p w14:paraId="16A41FC6" w14:textId="77777777" w:rsidR="00D02578" w:rsidRPr="00402046" w:rsidRDefault="00D02578" w:rsidP="00AB4269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3163B224" w14:textId="77777777" w:rsidR="00D02578" w:rsidRPr="00402046" w:rsidRDefault="00D02578" w:rsidP="00AB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Technický dozor objednatele:</w:t>
            </w:r>
          </w:p>
        </w:tc>
        <w:tc>
          <w:tcPr>
            <w:tcW w:w="4677" w:type="dxa"/>
            <w:shd w:val="clear" w:color="auto" w:fill="auto"/>
          </w:tcPr>
          <w:p w14:paraId="58B5E64B" w14:textId="77777777" w:rsidR="00D02578" w:rsidRPr="00402046" w:rsidRDefault="00D02578" w:rsidP="00AB4269">
            <w:pPr>
              <w:rPr>
                <w:sz w:val="24"/>
                <w:szCs w:val="24"/>
              </w:rPr>
            </w:pPr>
          </w:p>
        </w:tc>
      </w:tr>
    </w:tbl>
    <w:p w14:paraId="14527237" w14:textId="77777777" w:rsidR="008424AD" w:rsidRDefault="008424AD" w:rsidP="008424AD">
      <w:pPr>
        <w:spacing w:after="120"/>
        <w:ind w:firstLine="709"/>
        <w:jc w:val="center"/>
        <w:rPr>
          <w:sz w:val="24"/>
          <w:szCs w:val="24"/>
        </w:rPr>
      </w:pPr>
    </w:p>
    <w:tbl>
      <w:tblPr>
        <w:tblpPr w:leftFromText="141" w:rightFromText="141" w:bottomFromText="160" w:vertAnchor="page" w:horzAnchor="margin" w:tblpY="9616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8424AD" w:rsidRPr="00D469E7" w14:paraId="1F01A31F" w14:textId="77777777" w:rsidTr="00AB4269">
        <w:trPr>
          <w:trHeight w:val="1276"/>
        </w:trPr>
        <w:tc>
          <w:tcPr>
            <w:tcW w:w="423" w:type="dxa"/>
            <w:hideMark/>
          </w:tcPr>
          <w:p w14:paraId="39F46918" w14:textId="77777777" w:rsidR="00D02578" w:rsidRDefault="00D02578" w:rsidP="00AB42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C150B0F" w14:textId="77777777" w:rsidR="00997308" w:rsidRDefault="00997308" w:rsidP="00AB42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07091A3" w14:textId="77777777" w:rsidR="008424AD" w:rsidRDefault="008424AD" w:rsidP="00AB42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80" w:type="dxa"/>
          </w:tcPr>
          <w:p w14:paraId="299004D7" w14:textId="3457E5CE" w:rsidR="00D02578" w:rsidRDefault="00D02578" w:rsidP="001E6DC0">
            <w:pPr>
              <w:tabs>
                <w:tab w:val="left" w:pos="2887"/>
              </w:tabs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69BABDED" w14:textId="77777777" w:rsidR="00997308" w:rsidRDefault="00997308" w:rsidP="00AB42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151671DE" w14:textId="77777777" w:rsidR="008424AD" w:rsidRDefault="008424AD" w:rsidP="00AB42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Zhotovitel:</w:t>
            </w:r>
          </w:p>
          <w:p w14:paraId="191B093F" w14:textId="77777777" w:rsidR="008424AD" w:rsidRDefault="008424AD" w:rsidP="00AB42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D3E872F" w14:textId="77777777" w:rsidR="008424AD" w:rsidRDefault="008424AD" w:rsidP="00AB42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14:paraId="22D4F2FD" w14:textId="77777777" w:rsidR="001A3405" w:rsidRDefault="001A3405" w:rsidP="001A3405">
            <w:pPr>
              <w:rPr>
                <w:sz w:val="24"/>
                <w:szCs w:val="24"/>
                <w:lang w:eastAsia="en-US"/>
              </w:rPr>
            </w:pPr>
          </w:p>
          <w:p w14:paraId="5E7A9060" w14:textId="77777777" w:rsidR="00D02578" w:rsidRDefault="00D02578" w:rsidP="001A3405">
            <w:pPr>
              <w:rPr>
                <w:sz w:val="24"/>
                <w:szCs w:val="24"/>
                <w:lang w:eastAsia="en-US"/>
              </w:rPr>
            </w:pPr>
          </w:p>
        </w:tc>
      </w:tr>
      <w:tr w:rsidR="00BF06BF" w:rsidRPr="00D469E7" w14:paraId="5FF3C372" w14:textId="77777777" w:rsidTr="00AB4269">
        <w:tc>
          <w:tcPr>
            <w:tcW w:w="423" w:type="dxa"/>
          </w:tcPr>
          <w:p w14:paraId="1CDB937D" w14:textId="77777777" w:rsidR="00BF06BF" w:rsidRDefault="00BF06BF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2EB5D0DE" w14:textId="77777777" w:rsidR="00381266" w:rsidRDefault="00381266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Zasílací adresa:</w:t>
            </w:r>
          </w:p>
          <w:p w14:paraId="101A9FCE" w14:textId="77777777" w:rsidR="00BF06BF" w:rsidRDefault="00BF06BF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Smluvně oprávněn jednat:</w:t>
            </w:r>
          </w:p>
        </w:tc>
        <w:tc>
          <w:tcPr>
            <w:tcW w:w="4677" w:type="dxa"/>
          </w:tcPr>
          <w:p w14:paraId="68715C6D" w14:textId="77777777" w:rsidR="00BF06BF" w:rsidRDefault="00BF06BF" w:rsidP="00BF06BF"/>
        </w:tc>
      </w:tr>
      <w:tr w:rsidR="00BF06BF" w:rsidRPr="00D469E7" w14:paraId="7341842D" w14:textId="77777777" w:rsidTr="00AB4269">
        <w:tc>
          <w:tcPr>
            <w:tcW w:w="423" w:type="dxa"/>
          </w:tcPr>
          <w:p w14:paraId="259DE44D" w14:textId="77777777" w:rsidR="00BF06BF" w:rsidRDefault="00BF06BF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354C296D" w14:textId="77777777" w:rsidR="00BF06BF" w:rsidRDefault="00BF06BF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Bankovní spojení:</w:t>
            </w:r>
          </w:p>
        </w:tc>
        <w:tc>
          <w:tcPr>
            <w:tcW w:w="4677" w:type="dxa"/>
          </w:tcPr>
          <w:p w14:paraId="45DE1111" w14:textId="77777777" w:rsidR="00BF06BF" w:rsidRPr="001A3405" w:rsidRDefault="00BF06BF" w:rsidP="00BF06BF">
            <w:pPr>
              <w:rPr>
                <w:sz w:val="24"/>
                <w:szCs w:val="24"/>
              </w:rPr>
            </w:pPr>
          </w:p>
        </w:tc>
      </w:tr>
      <w:tr w:rsidR="00BF06BF" w:rsidRPr="00D469E7" w14:paraId="3D1D5DE7" w14:textId="77777777" w:rsidTr="00AB4269">
        <w:tc>
          <w:tcPr>
            <w:tcW w:w="423" w:type="dxa"/>
          </w:tcPr>
          <w:p w14:paraId="3378ABBC" w14:textId="77777777" w:rsidR="00BF06BF" w:rsidRDefault="00BF06BF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376108AA" w14:textId="77777777" w:rsidR="00BF06BF" w:rsidRDefault="00BF06BF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Číslo účtu:</w:t>
            </w:r>
          </w:p>
        </w:tc>
        <w:tc>
          <w:tcPr>
            <w:tcW w:w="4677" w:type="dxa"/>
          </w:tcPr>
          <w:p w14:paraId="20963288" w14:textId="77777777" w:rsidR="00BF06BF" w:rsidRPr="001A3405" w:rsidRDefault="00BF06BF" w:rsidP="00BF06BF">
            <w:pPr>
              <w:rPr>
                <w:sz w:val="24"/>
                <w:szCs w:val="24"/>
              </w:rPr>
            </w:pPr>
          </w:p>
        </w:tc>
      </w:tr>
      <w:tr w:rsidR="00BF06BF" w:rsidRPr="00D469E7" w14:paraId="7EDDDDF7" w14:textId="77777777" w:rsidTr="00AB4269">
        <w:tc>
          <w:tcPr>
            <w:tcW w:w="423" w:type="dxa"/>
          </w:tcPr>
          <w:p w14:paraId="2AA8403C" w14:textId="77777777" w:rsidR="00BF06BF" w:rsidRDefault="00BF06BF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13B5050F" w14:textId="77777777" w:rsidR="00BF06BF" w:rsidRDefault="00BF06BF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IČ:</w:t>
            </w:r>
          </w:p>
        </w:tc>
        <w:tc>
          <w:tcPr>
            <w:tcW w:w="4677" w:type="dxa"/>
          </w:tcPr>
          <w:p w14:paraId="228FB9F6" w14:textId="77777777" w:rsidR="00BF06BF" w:rsidRPr="001A3405" w:rsidRDefault="00BF06BF" w:rsidP="00BF06BF">
            <w:pPr>
              <w:rPr>
                <w:sz w:val="24"/>
                <w:szCs w:val="24"/>
              </w:rPr>
            </w:pPr>
          </w:p>
        </w:tc>
      </w:tr>
      <w:tr w:rsidR="00BF06BF" w:rsidRPr="00D469E7" w14:paraId="2B4BA0DC" w14:textId="77777777" w:rsidTr="00AB4269">
        <w:tc>
          <w:tcPr>
            <w:tcW w:w="423" w:type="dxa"/>
          </w:tcPr>
          <w:p w14:paraId="20995780" w14:textId="77777777" w:rsidR="00BF06BF" w:rsidRDefault="00BF06BF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35BE8C43" w14:textId="77777777" w:rsidR="00BF06BF" w:rsidRDefault="00BF06BF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DIČ:</w:t>
            </w:r>
          </w:p>
        </w:tc>
        <w:tc>
          <w:tcPr>
            <w:tcW w:w="4677" w:type="dxa"/>
          </w:tcPr>
          <w:p w14:paraId="6A17BA1C" w14:textId="77777777" w:rsidR="00BF06BF" w:rsidRPr="001A3405" w:rsidRDefault="00BF06BF" w:rsidP="00BF06BF">
            <w:pPr>
              <w:rPr>
                <w:sz w:val="24"/>
                <w:szCs w:val="24"/>
              </w:rPr>
            </w:pPr>
          </w:p>
        </w:tc>
      </w:tr>
      <w:tr w:rsidR="00BF06BF" w:rsidRPr="00D469E7" w14:paraId="6B637C51" w14:textId="77777777" w:rsidTr="00AB4269">
        <w:tc>
          <w:tcPr>
            <w:tcW w:w="423" w:type="dxa"/>
          </w:tcPr>
          <w:p w14:paraId="0F66E5DA" w14:textId="77777777" w:rsidR="00BF06BF" w:rsidRDefault="00BF06BF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798C8C12" w14:textId="77777777" w:rsidR="00BF06BF" w:rsidRDefault="00BF06BF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(dále jen „zhotovitel“)</w:t>
            </w:r>
          </w:p>
        </w:tc>
        <w:tc>
          <w:tcPr>
            <w:tcW w:w="4677" w:type="dxa"/>
          </w:tcPr>
          <w:p w14:paraId="1FE6915E" w14:textId="77777777" w:rsidR="00BF06BF" w:rsidRDefault="00BF06BF" w:rsidP="00BF06BF"/>
        </w:tc>
      </w:tr>
      <w:tr w:rsidR="00BF06BF" w:rsidRPr="00D469E7" w14:paraId="498F4B4C" w14:textId="77777777" w:rsidTr="00AB4269">
        <w:tc>
          <w:tcPr>
            <w:tcW w:w="423" w:type="dxa"/>
          </w:tcPr>
          <w:p w14:paraId="62A51FF7" w14:textId="77777777" w:rsidR="00BF06BF" w:rsidRDefault="00BF06BF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73C84056" w14:textId="77777777" w:rsidR="00BF06BF" w:rsidRDefault="00BF06BF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Kontaktní osoba zhotovitele:</w:t>
            </w:r>
          </w:p>
        </w:tc>
        <w:tc>
          <w:tcPr>
            <w:tcW w:w="4677" w:type="dxa"/>
          </w:tcPr>
          <w:p w14:paraId="64591BE0" w14:textId="77777777" w:rsidR="00BF06BF" w:rsidRPr="001A3405" w:rsidRDefault="00BF06BF" w:rsidP="00BF06BF">
            <w:pPr>
              <w:rPr>
                <w:sz w:val="24"/>
                <w:szCs w:val="24"/>
              </w:rPr>
            </w:pPr>
          </w:p>
        </w:tc>
      </w:tr>
      <w:tr w:rsidR="00BF06BF" w:rsidRPr="00D469E7" w14:paraId="292AD498" w14:textId="77777777" w:rsidTr="00AB4269">
        <w:tc>
          <w:tcPr>
            <w:tcW w:w="423" w:type="dxa"/>
          </w:tcPr>
          <w:p w14:paraId="1948842B" w14:textId="77777777" w:rsidR="00BF06BF" w:rsidRDefault="00BF06BF" w:rsidP="00BF06BF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0E032C22" w14:textId="77777777" w:rsidR="00BF06BF" w:rsidRDefault="00BF06BF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 technických věcech oprávněn</w:t>
            </w:r>
          </w:p>
          <w:p w14:paraId="2AC0C4E8" w14:textId="77777777" w:rsidR="00BF06BF" w:rsidRDefault="00BF06BF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jednat:</w:t>
            </w:r>
          </w:p>
        </w:tc>
        <w:tc>
          <w:tcPr>
            <w:tcW w:w="4677" w:type="dxa"/>
          </w:tcPr>
          <w:p w14:paraId="404EC6BB" w14:textId="77777777" w:rsidR="00BF06BF" w:rsidRPr="001A3405" w:rsidRDefault="00BF06BF" w:rsidP="00BF06BF">
            <w:pPr>
              <w:rPr>
                <w:sz w:val="24"/>
                <w:szCs w:val="24"/>
              </w:rPr>
            </w:pPr>
          </w:p>
        </w:tc>
      </w:tr>
    </w:tbl>
    <w:p w14:paraId="6B2A8AD5" w14:textId="77777777" w:rsidR="008424AD" w:rsidRDefault="008424AD" w:rsidP="008424AD">
      <w:pPr>
        <w:spacing w:after="120"/>
        <w:ind w:firstLine="709"/>
        <w:jc w:val="center"/>
        <w:rPr>
          <w:b/>
          <w:sz w:val="24"/>
          <w:szCs w:val="24"/>
        </w:rPr>
      </w:pPr>
    </w:p>
    <w:p w14:paraId="5A1CEF62" w14:textId="77777777" w:rsidR="00D02578" w:rsidRDefault="00D02578" w:rsidP="008424AD">
      <w:pPr>
        <w:spacing w:after="120"/>
        <w:ind w:firstLine="709"/>
        <w:jc w:val="center"/>
        <w:rPr>
          <w:b/>
          <w:sz w:val="24"/>
          <w:szCs w:val="24"/>
        </w:rPr>
      </w:pPr>
    </w:p>
    <w:p w14:paraId="231872EC" w14:textId="77777777" w:rsidR="008424AD" w:rsidRDefault="008424AD" w:rsidP="001E6DC0">
      <w:pPr>
        <w:spacing w:before="120" w:after="12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Článek 1</w:t>
      </w:r>
    </w:p>
    <w:p w14:paraId="7BFD85EC" w14:textId="77777777" w:rsidR="008424AD" w:rsidRDefault="008424AD" w:rsidP="008424A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 a rozsah plnění</w:t>
      </w:r>
    </w:p>
    <w:p w14:paraId="4807A5CC" w14:textId="58DE9AAD" w:rsidR="00AD37D9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B2BD7">
        <w:rPr>
          <w:sz w:val="24"/>
          <w:szCs w:val="24"/>
        </w:rPr>
        <w:t xml:space="preserve">Tato Smlouva je uzavírána mezi objednatelem a zhotovitelem na základě výsledků </w:t>
      </w:r>
      <w:r w:rsidR="002B0D91">
        <w:rPr>
          <w:sz w:val="24"/>
          <w:szCs w:val="24"/>
        </w:rPr>
        <w:t>poptávkového</w:t>
      </w:r>
      <w:r w:rsidR="002B0D91" w:rsidRPr="003B2BD7">
        <w:rPr>
          <w:sz w:val="24"/>
          <w:szCs w:val="24"/>
        </w:rPr>
        <w:t xml:space="preserve"> </w:t>
      </w:r>
      <w:r w:rsidRPr="003B2BD7">
        <w:rPr>
          <w:sz w:val="24"/>
          <w:szCs w:val="24"/>
        </w:rPr>
        <w:t>řízení</w:t>
      </w:r>
      <w:r w:rsidR="009A60CD">
        <w:rPr>
          <w:sz w:val="24"/>
          <w:szCs w:val="24"/>
        </w:rPr>
        <w:t xml:space="preserve"> ze dne …</w:t>
      </w:r>
      <w:proofErr w:type="gramStart"/>
      <w:r w:rsidR="009A60CD">
        <w:rPr>
          <w:sz w:val="24"/>
          <w:szCs w:val="24"/>
        </w:rPr>
        <w:t>…….</w:t>
      </w:r>
      <w:proofErr w:type="gramEnd"/>
      <w:r w:rsidR="009A60CD">
        <w:rPr>
          <w:sz w:val="24"/>
          <w:szCs w:val="24"/>
        </w:rPr>
        <w:t>.</w:t>
      </w:r>
      <w:r w:rsidRPr="003B2BD7">
        <w:rPr>
          <w:sz w:val="24"/>
          <w:szCs w:val="24"/>
        </w:rPr>
        <w:t xml:space="preserve"> na veřejnou zakázku malého rozsahu na </w:t>
      </w:r>
      <w:r w:rsidR="00ED5F3E">
        <w:rPr>
          <w:sz w:val="24"/>
          <w:szCs w:val="24"/>
        </w:rPr>
        <w:t>provedení díla</w:t>
      </w:r>
      <w:r w:rsidRPr="003B2BD7">
        <w:rPr>
          <w:sz w:val="24"/>
          <w:szCs w:val="24"/>
        </w:rPr>
        <w:t xml:space="preserve"> s názvem „</w:t>
      </w:r>
      <w:r w:rsidR="00934325" w:rsidRPr="005A105E">
        <w:rPr>
          <w:b/>
          <w:sz w:val="24"/>
        </w:rPr>
        <w:t xml:space="preserve">Odbahnění mokřadu v EVL a PP Jablonná </w:t>
      </w:r>
      <w:r w:rsidR="00934325">
        <w:rPr>
          <w:b/>
          <w:sz w:val="24"/>
        </w:rPr>
        <w:t>–</w:t>
      </w:r>
      <w:r w:rsidR="00934325" w:rsidRPr="005A105E">
        <w:rPr>
          <w:b/>
          <w:sz w:val="24"/>
        </w:rPr>
        <w:t xml:space="preserve"> mokřad</w:t>
      </w:r>
      <w:r w:rsidR="00934325">
        <w:rPr>
          <w:b/>
          <w:sz w:val="24"/>
        </w:rPr>
        <w:t xml:space="preserve"> – deponace na </w:t>
      </w:r>
      <w:r w:rsidR="008007E1">
        <w:rPr>
          <w:b/>
          <w:sz w:val="24"/>
        </w:rPr>
        <w:t>batrachologickou</w:t>
      </w:r>
      <w:r w:rsidR="00934325">
        <w:rPr>
          <w:b/>
          <w:sz w:val="24"/>
        </w:rPr>
        <w:t xml:space="preserve"> stanici</w:t>
      </w:r>
      <w:r w:rsidRPr="003B2BD7">
        <w:rPr>
          <w:sz w:val="24"/>
          <w:szCs w:val="24"/>
        </w:rPr>
        <w:t xml:space="preserve">‟ (dále jen </w:t>
      </w:r>
      <w:r w:rsidR="002B0D91">
        <w:rPr>
          <w:sz w:val="24"/>
          <w:szCs w:val="24"/>
        </w:rPr>
        <w:t>„</w:t>
      </w:r>
      <w:r w:rsidRPr="003B2BD7">
        <w:rPr>
          <w:sz w:val="24"/>
          <w:szCs w:val="24"/>
        </w:rPr>
        <w:t>veřejná zakázka</w:t>
      </w:r>
      <w:r w:rsidR="002B0D91">
        <w:rPr>
          <w:sz w:val="24"/>
          <w:szCs w:val="24"/>
        </w:rPr>
        <w:t>“</w:t>
      </w:r>
      <w:r w:rsidRPr="003B2BD7">
        <w:rPr>
          <w:sz w:val="24"/>
          <w:szCs w:val="24"/>
        </w:rPr>
        <w:t xml:space="preserve">). Nabídka zhotovitele podaná v rámci </w:t>
      </w:r>
      <w:r w:rsidR="002B0D91">
        <w:rPr>
          <w:sz w:val="24"/>
          <w:szCs w:val="24"/>
        </w:rPr>
        <w:t>poptávkového</w:t>
      </w:r>
      <w:r w:rsidR="002B0D91" w:rsidRPr="003B2BD7">
        <w:rPr>
          <w:sz w:val="24"/>
          <w:szCs w:val="24"/>
        </w:rPr>
        <w:t xml:space="preserve"> </w:t>
      </w:r>
      <w:r w:rsidRPr="003B2BD7">
        <w:rPr>
          <w:sz w:val="24"/>
          <w:szCs w:val="24"/>
        </w:rPr>
        <w:t xml:space="preserve">řízení na </w:t>
      </w:r>
      <w:r w:rsidR="002B0D91">
        <w:rPr>
          <w:sz w:val="24"/>
          <w:szCs w:val="24"/>
        </w:rPr>
        <w:t>v</w:t>
      </w:r>
      <w:r w:rsidRPr="003B2BD7">
        <w:rPr>
          <w:sz w:val="24"/>
          <w:szCs w:val="24"/>
        </w:rPr>
        <w:t xml:space="preserve">eřejnou zakázku (dále jen </w:t>
      </w:r>
      <w:r w:rsidR="002B0D91">
        <w:rPr>
          <w:sz w:val="24"/>
          <w:szCs w:val="24"/>
        </w:rPr>
        <w:t>„</w:t>
      </w:r>
      <w:r w:rsidRPr="003B2BD7">
        <w:rPr>
          <w:sz w:val="24"/>
          <w:szCs w:val="24"/>
        </w:rPr>
        <w:t>nabídka</w:t>
      </w:r>
      <w:r w:rsidR="002B0D91">
        <w:rPr>
          <w:sz w:val="24"/>
          <w:szCs w:val="24"/>
        </w:rPr>
        <w:t>“</w:t>
      </w:r>
      <w:r w:rsidRPr="003B2BD7">
        <w:rPr>
          <w:sz w:val="24"/>
          <w:szCs w:val="24"/>
        </w:rPr>
        <w:t>), byla vyhodnocena jako nejvýhodnější.</w:t>
      </w:r>
      <w:r>
        <w:rPr>
          <w:sz w:val="24"/>
          <w:szCs w:val="24"/>
        </w:rPr>
        <w:t xml:space="preserve"> </w:t>
      </w:r>
    </w:p>
    <w:p w14:paraId="68704EB6" w14:textId="071A9308" w:rsidR="008424AD" w:rsidRPr="006F01EC" w:rsidRDefault="008424AD" w:rsidP="00331702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hanging="792"/>
        <w:jc w:val="both"/>
        <w:rPr>
          <w:sz w:val="24"/>
          <w:szCs w:val="24"/>
        </w:rPr>
      </w:pPr>
      <w:r w:rsidRPr="006F01EC">
        <w:rPr>
          <w:sz w:val="24"/>
          <w:szCs w:val="24"/>
        </w:rPr>
        <w:t>Zhotovitel se zavazuje provést dílo</w:t>
      </w:r>
      <w:r w:rsidR="002B0D91">
        <w:rPr>
          <w:sz w:val="24"/>
          <w:szCs w:val="24"/>
        </w:rPr>
        <w:t xml:space="preserve"> </w:t>
      </w:r>
      <w:r w:rsidRPr="006F01EC">
        <w:rPr>
          <w:sz w:val="24"/>
          <w:szCs w:val="24"/>
        </w:rPr>
        <w:t>specifikované v čl. 1, bodu 1.</w:t>
      </w:r>
      <w:r w:rsidR="002B0D91">
        <w:rPr>
          <w:sz w:val="24"/>
          <w:szCs w:val="24"/>
        </w:rPr>
        <w:t>3 této smlouvy (dále jen „dílo“)</w:t>
      </w:r>
      <w:r w:rsidRPr="006F01EC">
        <w:rPr>
          <w:sz w:val="24"/>
          <w:szCs w:val="24"/>
        </w:rPr>
        <w:t xml:space="preserve"> řádně a včas na svůj náklad a nebezpečí, jménem objednatele a objednatel se zavazuje dílo převzít a zaplatit cenu.</w:t>
      </w:r>
      <w:r w:rsidR="006F01EC">
        <w:rPr>
          <w:sz w:val="24"/>
          <w:szCs w:val="24"/>
        </w:rPr>
        <w:t xml:space="preserve"> </w:t>
      </w:r>
      <w:r w:rsidR="006F01EC" w:rsidRPr="006F01EC">
        <w:rPr>
          <w:sz w:val="24"/>
          <w:szCs w:val="24"/>
        </w:rPr>
        <w:t>Zhotovitel prohlašuje, že je schopný dílo dle této smlouvy provést v souladu s touto smlouvou za sjednanou cenu. Zhotovitel je držitelem příslušných živnostenských oprávnění potřebných k provedení díla a má řádné vybavení, zkušenosti a schopnosti, aby řádně a včas provedl dílo dle této smlouvy.</w:t>
      </w:r>
    </w:p>
    <w:p w14:paraId="0152A523" w14:textId="6BA8FE2D" w:rsidR="002B0D91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Krajský úřad Středočeského kraje zajišťuje v souladu s ustanovením </w:t>
      </w:r>
      <w:r w:rsidR="002B0D91">
        <w:rPr>
          <w:sz w:val="24"/>
          <w:szCs w:val="24"/>
        </w:rPr>
        <w:t xml:space="preserve">§ 77a </w:t>
      </w:r>
      <w:r>
        <w:rPr>
          <w:sz w:val="24"/>
          <w:szCs w:val="24"/>
        </w:rPr>
        <w:t>odst. 2 a 4 písm. l) zákona číslo 114/1992 Sb., o ochraně přírody a krajiny, v</w:t>
      </w:r>
      <w:r w:rsidR="002B0D91">
        <w:rPr>
          <w:sz w:val="24"/>
          <w:szCs w:val="24"/>
        </w:rPr>
        <w:t>e</w:t>
      </w:r>
      <w:r>
        <w:rPr>
          <w:sz w:val="24"/>
          <w:szCs w:val="24"/>
        </w:rPr>
        <w:t xml:space="preserve"> znění</w:t>
      </w:r>
      <w:r w:rsidR="002B0D91">
        <w:rPr>
          <w:sz w:val="24"/>
          <w:szCs w:val="24"/>
        </w:rPr>
        <w:t xml:space="preserve"> pozdějších předpisů</w:t>
      </w:r>
      <w:r>
        <w:rPr>
          <w:sz w:val="24"/>
          <w:szCs w:val="24"/>
        </w:rPr>
        <w:t xml:space="preserve">, péči o maloplošné zvláště chráněné území </w:t>
      </w:r>
      <w:r w:rsidRPr="00BC2A31">
        <w:rPr>
          <w:sz w:val="24"/>
          <w:szCs w:val="24"/>
        </w:rPr>
        <w:t xml:space="preserve">přírodní památku </w:t>
      </w:r>
      <w:proofErr w:type="gramStart"/>
      <w:r w:rsidR="00997308">
        <w:rPr>
          <w:b/>
          <w:sz w:val="24"/>
          <w:szCs w:val="24"/>
        </w:rPr>
        <w:t>Jablonná - mokřad</w:t>
      </w:r>
      <w:proofErr w:type="gramEnd"/>
      <w:r>
        <w:rPr>
          <w:sz w:val="24"/>
          <w:szCs w:val="24"/>
        </w:rPr>
        <w:t xml:space="preserve"> (dále jen </w:t>
      </w:r>
      <w:r w:rsidR="002B0D91">
        <w:rPr>
          <w:sz w:val="24"/>
          <w:szCs w:val="24"/>
        </w:rPr>
        <w:t>„</w:t>
      </w:r>
      <w:r>
        <w:rPr>
          <w:sz w:val="24"/>
          <w:szCs w:val="24"/>
        </w:rPr>
        <w:t>ZCHÚ</w:t>
      </w:r>
      <w:r w:rsidR="002B0D91">
        <w:rPr>
          <w:sz w:val="24"/>
          <w:szCs w:val="24"/>
        </w:rPr>
        <w:t>“</w:t>
      </w:r>
      <w:r>
        <w:rPr>
          <w:sz w:val="24"/>
          <w:szCs w:val="24"/>
        </w:rPr>
        <w:t>).</w:t>
      </w:r>
    </w:p>
    <w:p w14:paraId="582341D7" w14:textId="1AD9FDD6" w:rsidR="00F411B0" w:rsidRPr="00584EF6" w:rsidRDefault="002B0D91" w:rsidP="00584EF6">
      <w:pPr>
        <w:numPr>
          <w:ilvl w:val="1"/>
          <w:numId w:val="1"/>
        </w:numPr>
        <w:spacing w:before="120" w:after="120"/>
        <w:ind w:left="709" w:hanging="792"/>
        <w:jc w:val="both"/>
        <w:rPr>
          <w:sz w:val="24"/>
          <w:szCs w:val="24"/>
        </w:rPr>
      </w:pPr>
      <w:r w:rsidRPr="00F411B0">
        <w:rPr>
          <w:rFonts w:eastAsia="Calibri"/>
          <w:sz w:val="24"/>
          <w:szCs w:val="24"/>
          <w:lang w:eastAsia="en-US"/>
        </w:rPr>
        <w:t>Předmětem díla je „</w:t>
      </w:r>
      <w:r w:rsidR="00F42928" w:rsidRPr="00F411B0">
        <w:rPr>
          <w:b/>
          <w:sz w:val="24"/>
        </w:rPr>
        <w:t xml:space="preserve">Odbahnění mokřadu v EVL a PP Jablonná – mokřad – deponace na </w:t>
      </w:r>
      <w:proofErr w:type="spellStart"/>
      <w:r w:rsidR="008007E1">
        <w:rPr>
          <w:b/>
          <w:sz w:val="24"/>
        </w:rPr>
        <w:t>batrachologickou</w:t>
      </w:r>
      <w:proofErr w:type="spellEnd"/>
      <w:r w:rsidR="00F42928" w:rsidRPr="00F411B0">
        <w:rPr>
          <w:b/>
          <w:sz w:val="24"/>
        </w:rPr>
        <w:t xml:space="preserve"> stanici</w:t>
      </w:r>
      <w:r w:rsidRPr="00F411B0">
        <w:rPr>
          <w:rFonts w:eastAsia="Calibri"/>
          <w:sz w:val="24"/>
          <w:szCs w:val="24"/>
          <w:lang w:eastAsia="en-US"/>
        </w:rPr>
        <w:t xml:space="preserve">“. Dílo spočívá </w:t>
      </w:r>
      <w:r w:rsidR="00F05EC0" w:rsidRPr="00F411B0">
        <w:rPr>
          <w:rFonts w:eastAsia="Calibri"/>
          <w:sz w:val="24"/>
          <w:szCs w:val="24"/>
          <w:lang w:eastAsia="en-US"/>
        </w:rPr>
        <w:t>v odchytu cca 1 000 ks jedinců kuňky obecné (</w:t>
      </w:r>
      <w:proofErr w:type="spellStart"/>
      <w:r w:rsidR="00F05EC0" w:rsidRPr="00F411B0">
        <w:rPr>
          <w:rFonts w:eastAsia="Calibri"/>
          <w:i/>
          <w:sz w:val="24"/>
          <w:szCs w:val="24"/>
          <w:lang w:eastAsia="en-US"/>
        </w:rPr>
        <w:t>Bombina</w:t>
      </w:r>
      <w:proofErr w:type="spellEnd"/>
      <w:r w:rsidR="00F05EC0" w:rsidRPr="00F411B0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="00F05EC0" w:rsidRPr="00F411B0">
        <w:rPr>
          <w:rFonts w:eastAsia="Calibri"/>
          <w:i/>
          <w:sz w:val="24"/>
          <w:szCs w:val="24"/>
          <w:lang w:eastAsia="en-US"/>
        </w:rPr>
        <w:t>bombina</w:t>
      </w:r>
      <w:proofErr w:type="spellEnd"/>
      <w:r w:rsidR="00F05EC0" w:rsidRPr="00F411B0">
        <w:rPr>
          <w:rFonts w:eastAsia="Calibri"/>
          <w:sz w:val="24"/>
          <w:szCs w:val="24"/>
          <w:lang w:eastAsia="en-US"/>
        </w:rPr>
        <w:t xml:space="preserve">) v prostoru EVL a PP Jablonná – mokřad v srpnu 2019, jejich deponování přes zimní období až do března 2020 a zpětné vypuštění v lokalitě odchytu. Součástí díla je i </w:t>
      </w:r>
      <w:r w:rsidR="00F411B0" w:rsidRPr="00F411B0">
        <w:rPr>
          <w:rFonts w:eastAsia="Calibri"/>
          <w:sz w:val="24"/>
          <w:szCs w:val="24"/>
          <w:lang w:eastAsia="en-US"/>
        </w:rPr>
        <w:t xml:space="preserve">vyšetření kontrolního vzorku 10 % jedinců na přítomnost </w:t>
      </w:r>
      <w:proofErr w:type="spellStart"/>
      <w:r w:rsidR="00F411B0" w:rsidRPr="00F411B0">
        <w:rPr>
          <w:rFonts w:eastAsia="Calibri"/>
          <w:sz w:val="24"/>
          <w:szCs w:val="24"/>
          <w:lang w:eastAsia="en-US"/>
        </w:rPr>
        <w:t>chytridiomykózy</w:t>
      </w:r>
      <w:proofErr w:type="spellEnd"/>
      <w:r w:rsidR="00F411B0" w:rsidRPr="00F411B0">
        <w:rPr>
          <w:rFonts w:eastAsia="Calibri"/>
          <w:sz w:val="24"/>
          <w:szCs w:val="24"/>
          <w:lang w:eastAsia="en-US"/>
        </w:rPr>
        <w:t xml:space="preserve">, v případě výskytu nákazy jejich léčba, a zpracování zprávy o deponaci a </w:t>
      </w:r>
      <w:proofErr w:type="spellStart"/>
      <w:r w:rsidR="00F411B0" w:rsidRPr="00F411B0">
        <w:rPr>
          <w:rFonts w:eastAsia="Calibri"/>
          <w:sz w:val="24"/>
          <w:szCs w:val="24"/>
          <w:lang w:eastAsia="en-US"/>
        </w:rPr>
        <w:t>reintrodukci</w:t>
      </w:r>
      <w:proofErr w:type="spellEnd"/>
      <w:r w:rsidR="00F411B0" w:rsidRPr="00F411B0">
        <w:rPr>
          <w:rFonts w:eastAsia="Calibri"/>
          <w:sz w:val="24"/>
          <w:szCs w:val="24"/>
          <w:lang w:eastAsia="en-US"/>
        </w:rPr>
        <w:t xml:space="preserve"> kuněk obecných. Práce budou probíhat v návaznosti na provádění díla „</w:t>
      </w:r>
      <w:r w:rsidR="00F411B0" w:rsidRPr="005A105E">
        <w:rPr>
          <w:b/>
          <w:sz w:val="24"/>
        </w:rPr>
        <w:t xml:space="preserve">Odbahnění mokřadu v EVL a PP Jablonná </w:t>
      </w:r>
      <w:r w:rsidR="00CC073B">
        <w:rPr>
          <w:b/>
          <w:sz w:val="24"/>
        </w:rPr>
        <w:t>–</w:t>
      </w:r>
      <w:r w:rsidR="00F411B0">
        <w:rPr>
          <w:b/>
          <w:sz w:val="24"/>
        </w:rPr>
        <w:t xml:space="preserve"> mokřad</w:t>
      </w:r>
      <w:r w:rsidR="00CC073B">
        <w:rPr>
          <w:b/>
          <w:sz w:val="24"/>
        </w:rPr>
        <w:t>“</w:t>
      </w:r>
      <w:r w:rsidR="00CC073B" w:rsidRPr="00CC073B">
        <w:rPr>
          <w:sz w:val="24"/>
        </w:rPr>
        <w:t xml:space="preserve"> a </w:t>
      </w:r>
      <w:r w:rsidR="00CC073B">
        <w:rPr>
          <w:sz w:val="24"/>
        </w:rPr>
        <w:t>vydanou výjimkou „Povolení výjimky z ochranných podmínek zvláště chráněných živočichů a udělení souhlasu k činnosti v ochranném pásmu přírodní památky Jablonná – mokřad“ vydanou pod č.j. 097527/2017/KUSK ze dne 30.8.2017 a po dohodě se zhotovitelem díla a biologickým dozorem investora.</w:t>
      </w:r>
    </w:p>
    <w:p w14:paraId="7A05DF00" w14:textId="77777777" w:rsidR="00584EF6" w:rsidRPr="00D469E7" w:rsidRDefault="00584EF6" w:rsidP="00584EF6">
      <w:pPr>
        <w:widowControl w:val="0"/>
        <w:adjustRightInd w:val="0"/>
        <w:spacing w:before="120" w:after="120"/>
        <w:ind w:left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B7509D">
        <w:rPr>
          <w:sz w:val="24"/>
          <w:szCs w:val="24"/>
        </w:rPr>
        <w:t>Součástí díla jsou také práce v tomto článku nespecifikované, které však jsou nez</w:t>
      </w:r>
      <w:smartTag w:uri="urn:schemas-microsoft-com:office:smarttags" w:element="PersonName">
        <w:r w:rsidRPr="00B7509D">
          <w:rPr>
            <w:sz w:val="24"/>
            <w:szCs w:val="24"/>
          </w:rPr>
          <w:t>b</w:t>
        </w:r>
      </w:smartTag>
      <w:r w:rsidRPr="00B7509D">
        <w:rPr>
          <w:sz w:val="24"/>
          <w:szCs w:val="24"/>
        </w:rPr>
        <w:t>ytné k řádnému provedení díla a o kterých zhotovitel vzhledem ke s</w:t>
      </w:r>
      <w:r>
        <w:rPr>
          <w:sz w:val="24"/>
          <w:szCs w:val="24"/>
        </w:rPr>
        <w:t>vé kvalifikaci a </w:t>
      </w:r>
      <w:r w:rsidRPr="00B7509D">
        <w:rPr>
          <w:sz w:val="24"/>
          <w:szCs w:val="24"/>
        </w:rPr>
        <w:t>zkušenostem měl ne</w:t>
      </w:r>
      <w:smartTag w:uri="urn:schemas-microsoft-com:office:smarttags" w:element="PersonName">
        <w:r w:rsidRPr="00B7509D">
          <w:rPr>
            <w:sz w:val="24"/>
            <w:szCs w:val="24"/>
          </w:rPr>
          <w:t>b</w:t>
        </w:r>
      </w:smartTag>
      <w:r w:rsidRPr="00B7509D">
        <w:rPr>
          <w:sz w:val="24"/>
          <w:szCs w:val="24"/>
        </w:rPr>
        <w:t>o mohl vědět. Provedení těchto prací nemá vliv na sjednanou cenu díla.</w:t>
      </w:r>
    </w:p>
    <w:p w14:paraId="5F2249EA" w14:textId="63C7A5DD" w:rsidR="005A2240" w:rsidRDefault="005A2240" w:rsidP="00FD31E4">
      <w:pPr>
        <w:pStyle w:val="Zkladntextodsazen3"/>
        <w:numPr>
          <w:ilvl w:val="1"/>
          <w:numId w:val="40"/>
        </w:numPr>
        <w:ind w:left="709" w:hanging="709"/>
        <w:jc w:val="both"/>
        <w:rPr>
          <w:sz w:val="24"/>
          <w:szCs w:val="24"/>
          <w:lang w:val="cs-CZ"/>
        </w:rPr>
      </w:pPr>
      <w:r w:rsidRPr="00341D3D">
        <w:rPr>
          <w:sz w:val="24"/>
          <w:szCs w:val="24"/>
          <w:lang w:val="cs-CZ"/>
        </w:rPr>
        <w:t xml:space="preserve">Není-li v této smlouvě uvedeno jinak, není zhotovitel oprávněn ani povinen provést jakoukoliv změnu díla bez písemné dohody s objednatelem ve formě písemného dodatku. </w:t>
      </w:r>
    </w:p>
    <w:p w14:paraId="11F0A032" w14:textId="7D330DE9" w:rsidR="00F122E8" w:rsidRPr="00FD31E4" w:rsidRDefault="00FD31E4" w:rsidP="00FD31E4">
      <w:pPr>
        <w:pStyle w:val="Zkladntextodsazen3"/>
        <w:widowControl w:val="0"/>
        <w:numPr>
          <w:ilvl w:val="1"/>
          <w:numId w:val="40"/>
        </w:numPr>
        <w:adjustRightInd w:val="0"/>
        <w:spacing w:before="120"/>
        <w:ind w:left="709" w:hanging="709"/>
        <w:jc w:val="both"/>
        <w:textAlignment w:val="baseline"/>
        <w:rPr>
          <w:sz w:val="24"/>
          <w:szCs w:val="24"/>
        </w:rPr>
      </w:pPr>
      <w:r w:rsidRPr="00FD31E4">
        <w:rPr>
          <w:sz w:val="24"/>
          <w:szCs w:val="24"/>
        </w:rPr>
        <w:t xml:space="preserve">Zhotovitel splní závazek založený touto smlouvou tím, že řádně a včas provede </w:t>
      </w:r>
      <w:r>
        <w:rPr>
          <w:sz w:val="24"/>
          <w:szCs w:val="24"/>
        </w:rPr>
        <w:t xml:space="preserve">dílo </w:t>
      </w:r>
      <w:r w:rsidRPr="00FD31E4">
        <w:rPr>
          <w:sz w:val="24"/>
          <w:szCs w:val="24"/>
        </w:rPr>
        <w:t>dle této smlouvy a splní ostatní povinnosti vyplývající z této smlouvy.</w:t>
      </w:r>
    </w:p>
    <w:p w14:paraId="0B8BA80F" w14:textId="0DD3D564" w:rsidR="00FD31E4" w:rsidRPr="00FD31E4" w:rsidRDefault="00FD31E4" w:rsidP="00FD31E4">
      <w:pPr>
        <w:pStyle w:val="Odstavecseseznamem"/>
        <w:widowControl w:val="0"/>
        <w:numPr>
          <w:ilvl w:val="1"/>
          <w:numId w:val="40"/>
        </w:numPr>
        <w:adjustRightInd w:val="0"/>
        <w:spacing w:before="120" w:after="120"/>
        <w:ind w:left="709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Zhotovitel bere na vědomí, že objednatel bude provedení díla financovat z prostředků dotace poskytované </w:t>
      </w:r>
      <w:r w:rsidR="004C3EB0">
        <w:rPr>
          <w:sz w:val="24"/>
          <w:szCs w:val="24"/>
        </w:rPr>
        <w:t>v rámci O</w:t>
      </w:r>
      <w:r>
        <w:rPr>
          <w:sz w:val="24"/>
          <w:szCs w:val="24"/>
        </w:rPr>
        <w:t xml:space="preserve">peračního programu </w:t>
      </w:r>
      <w:r w:rsidR="004C3EB0">
        <w:rPr>
          <w:sz w:val="24"/>
          <w:szCs w:val="24"/>
        </w:rPr>
        <w:t>Životní prostředí.</w:t>
      </w:r>
    </w:p>
    <w:p w14:paraId="4B6DB369" w14:textId="77777777" w:rsidR="008424AD" w:rsidRDefault="008424AD" w:rsidP="001E6DC0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14:paraId="4A88A91F" w14:textId="77777777" w:rsidR="008424AD" w:rsidRDefault="008424AD" w:rsidP="008424A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plnění a způsob předání</w:t>
      </w:r>
    </w:p>
    <w:p w14:paraId="77CCEC44" w14:textId="69FC2570" w:rsidR="00AD37D9" w:rsidRDefault="006F611E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Pr="00FD31E4">
        <w:rPr>
          <w:sz w:val="24"/>
          <w:szCs w:val="24"/>
        </w:rPr>
        <w:t xml:space="preserve">hotovitel </w:t>
      </w:r>
      <w:r>
        <w:rPr>
          <w:sz w:val="24"/>
          <w:szCs w:val="24"/>
        </w:rPr>
        <w:t xml:space="preserve">se </w:t>
      </w:r>
      <w:r w:rsidRPr="00FD31E4">
        <w:rPr>
          <w:sz w:val="24"/>
          <w:szCs w:val="24"/>
        </w:rPr>
        <w:t xml:space="preserve">zavazuje provést </w:t>
      </w:r>
      <w:r>
        <w:rPr>
          <w:sz w:val="24"/>
          <w:szCs w:val="24"/>
        </w:rPr>
        <w:t xml:space="preserve">dílo </w:t>
      </w:r>
      <w:r w:rsidRPr="00FD31E4">
        <w:rPr>
          <w:sz w:val="24"/>
          <w:szCs w:val="24"/>
        </w:rPr>
        <w:t xml:space="preserve">v průběhu </w:t>
      </w:r>
      <w:r w:rsidR="00182C49">
        <w:rPr>
          <w:sz w:val="24"/>
          <w:szCs w:val="24"/>
        </w:rPr>
        <w:t>let</w:t>
      </w:r>
      <w:r w:rsidRPr="00FD31E4">
        <w:rPr>
          <w:sz w:val="24"/>
          <w:szCs w:val="24"/>
        </w:rPr>
        <w:t xml:space="preserve"> </w:t>
      </w:r>
      <w:proofErr w:type="gramStart"/>
      <w:r w:rsidRPr="00FD31E4">
        <w:rPr>
          <w:sz w:val="24"/>
          <w:szCs w:val="24"/>
        </w:rPr>
        <w:t>2019</w:t>
      </w:r>
      <w:r w:rsidR="00182C49">
        <w:rPr>
          <w:sz w:val="24"/>
          <w:szCs w:val="24"/>
        </w:rPr>
        <w:t xml:space="preserve"> - 2020</w:t>
      </w:r>
      <w:proofErr w:type="gramEnd"/>
      <w:r>
        <w:rPr>
          <w:sz w:val="24"/>
          <w:szCs w:val="24"/>
        </w:rPr>
        <w:t xml:space="preserve">. </w:t>
      </w:r>
      <w:r w:rsidR="00182C49">
        <w:rPr>
          <w:sz w:val="24"/>
          <w:szCs w:val="24"/>
        </w:rPr>
        <w:t xml:space="preserve">Předpokládaný </w:t>
      </w:r>
      <w:r>
        <w:rPr>
          <w:sz w:val="24"/>
          <w:szCs w:val="24"/>
        </w:rPr>
        <w:t xml:space="preserve">termín </w:t>
      </w:r>
      <w:r w:rsidR="00182C49">
        <w:rPr>
          <w:sz w:val="24"/>
          <w:szCs w:val="24"/>
        </w:rPr>
        <w:t xml:space="preserve">zahájení </w:t>
      </w:r>
      <w:r>
        <w:rPr>
          <w:sz w:val="24"/>
          <w:szCs w:val="24"/>
        </w:rPr>
        <w:t>realizace díla</w:t>
      </w:r>
      <w:r w:rsidR="00182C49">
        <w:rPr>
          <w:sz w:val="24"/>
          <w:szCs w:val="24"/>
        </w:rPr>
        <w:t xml:space="preserve"> je 20.8.2019</w:t>
      </w:r>
      <w:r>
        <w:rPr>
          <w:sz w:val="24"/>
          <w:szCs w:val="24"/>
        </w:rPr>
        <w:t xml:space="preserve">, </w:t>
      </w:r>
      <w:r w:rsidR="00182C49">
        <w:rPr>
          <w:sz w:val="24"/>
          <w:szCs w:val="24"/>
        </w:rPr>
        <w:t>konkrétní</w:t>
      </w:r>
      <w:r>
        <w:rPr>
          <w:sz w:val="24"/>
          <w:szCs w:val="24"/>
        </w:rPr>
        <w:t xml:space="preserve"> termín předání území a termín od zahájení díla do jeho dokončení a předání, bude stanoven objednatelem v závislosti na poskytnutí finančních prostředků poskytovatelem dotace</w:t>
      </w:r>
      <w:r w:rsidR="0059785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Objednatel se zavazuje oznámit zhotoviteli bez zbytečného odkladu, že mu byly poskytnuty finanční prostředky poskytovatelem dotace. Současně sdělí zhotoviteli písemně (případně e-mailem) nejméně 30 dnů předem datum předání území a zahájení díla. </w:t>
      </w:r>
    </w:p>
    <w:p w14:paraId="4F7BED72" w14:textId="685810C9"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Zhotovitel oznámí písemně </w:t>
      </w:r>
      <w:r w:rsidRPr="003002BA">
        <w:rPr>
          <w:b/>
          <w:sz w:val="24"/>
          <w:szCs w:val="24"/>
        </w:rPr>
        <w:t xml:space="preserve">nebo e-mailem osobě objednatele oprávněné jednat v technických věcech </w:t>
      </w:r>
      <w:r w:rsidR="009821E4">
        <w:rPr>
          <w:b/>
          <w:sz w:val="24"/>
          <w:szCs w:val="24"/>
        </w:rPr>
        <w:t>termíny provádění odchytu a termíny vypouštění deponovaných jedinců</w:t>
      </w:r>
      <w:r w:rsidRPr="003002BA">
        <w:rPr>
          <w:b/>
          <w:sz w:val="24"/>
          <w:szCs w:val="24"/>
        </w:rPr>
        <w:t xml:space="preserve"> nejpozději </w:t>
      </w:r>
      <w:r w:rsidR="009821E4">
        <w:rPr>
          <w:b/>
          <w:sz w:val="24"/>
          <w:szCs w:val="24"/>
        </w:rPr>
        <w:t>5</w:t>
      </w:r>
      <w:r w:rsidRPr="003002BA">
        <w:rPr>
          <w:b/>
          <w:sz w:val="24"/>
          <w:szCs w:val="24"/>
        </w:rPr>
        <w:t xml:space="preserve"> dnů</w:t>
      </w:r>
      <w:r w:rsidR="009821E4">
        <w:rPr>
          <w:b/>
          <w:sz w:val="24"/>
          <w:szCs w:val="24"/>
        </w:rPr>
        <w:t xml:space="preserve"> před konkrétním termínem odchytu (vypouštění)</w:t>
      </w:r>
      <w:r w:rsidRPr="003002BA">
        <w:rPr>
          <w:b/>
          <w:sz w:val="24"/>
          <w:szCs w:val="24"/>
        </w:rPr>
        <w:t>.</w:t>
      </w:r>
      <w:r w:rsidR="009821E4">
        <w:rPr>
          <w:b/>
          <w:sz w:val="24"/>
          <w:szCs w:val="24"/>
        </w:rPr>
        <w:t xml:space="preserve"> Objednatel si vyhrazuje právo účastnit se prováděných prací.</w:t>
      </w:r>
    </w:p>
    <w:p w14:paraId="60510614" w14:textId="5AFAB40E" w:rsidR="00AD37D9" w:rsidRDefault="009821E4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AD37D9">
        <w:rPr>
          <w:sz w:val="24"/>
          <w:szCs w:val="24"/>
        </w:rPr>
        <w:t xml:space="preserve"> nejpozději do 7 dnů ode dne </w:t>
      </w:r>
      <w:r>
        <w:rPr>
          <w:sz w:val="24"/>
          <w:szCs w:val="24"/>
        </w:rPr>
        <w:t xml:space="preserve">vypuštění deponovaných jedinců kuňky obecné předá objednateli </w:t>
      </w:r>
      <w:r w:rsidRPr="00F411B0">
        <w:rPr>
          <w:rFonts w:eastAsia="Calibri"/>
          <w:sz w:val="24"/>
          <w:szCs w:val="24"/>
          <w:lang w:eastAsia="en-US"/>
        </w:rPr>
        <w:t>zpráv</w:t>
      </w:r>
      <w:r>
        <w:rPr>
          <w:rFonts w:eastAsia="Calibri"/>
          <w:sz w:val="24"/>
          <w:szCs w:val="24"/>
          <w:lang w:eastAsia="en-US"/>
        </w:rPr>
        <w:t>u</w:t>
      </w:r>
      <w:r w:rsidRPr="00F411B0">
        <w:rPr>
          <w:rFonts w:eastAsia="Calibri"/>
          <w:sz w:val="24"/>
          <w:szCs w:val="24"/>
          <w:lang w:eastAsia="en-US"/>
        </w:rPr>
        <w:t xml:space="preserve"> o deponaci a </w:t>
      </w:r>
      <w:proofErr w:type="spellStart"/>
      <w:r w:rsidRPr="00F411B0">
        <w:rPr>
          <w:rFonts w:eastAsia="Calibri"/>
          <w:sz w:val="24"/>
          <w:szCs w:val="24"/>
          <w:lang w:eastAsia="en-US"/>
        </w:rPr>
        <w:t>reintrodukci</w:t>
      </w:r>
      <w:proofErr w:type="spellEnd"/>
      <w:r w:rsidRPr="00F411B0">
        <w:rPr>
          <w:rFonts w:eastAsia="Calibri"/>
          <w:sz w:val="24"/>
          <w:szCs w:val="24"/>
          <w:lang w:eastAsia="en-US"/>
        </w:rPr>
        <w:t xml:space="preserve"> kuněk obecných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E96E00">
        <w:rPr>
          <w:rFonts w:eastAsia="Calibri"/>
          <w:sz w:val="24"/>
          <w:szCs w:val="24"/>
          <w:lang w:eastAsia="en-US"/>
        </w:rPr>
        <w:t>O převzetí díla bude sepsán protokol.</w:t>
      </w:r>
      <w:r w:rsidR="00AD37D9">
        <w:rPr>
          <w:sz w:val="24"/>
          <w:szCs w:val="24"/>
        </w:rPr>
        <w:t xml:space="preserve"> </w:t>
      </w:r>
    </w:p>
    <w:p w14:paraId="38110615" w14:textId="4672184F"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zjištění skutečností majících podstatný vliv na provedení, předání a fakturování předmětu plnění (nepříznivé počasí, </w:t>
      </w:r>
      <w:r w:rsidR="00E00D8C">
        <w:rPr>
          <w:sz w:val="24"/>
          <w:szCs w:val="24"/>
        </w:rPr>
        <w:t xml:space="preserve">nepřidělení dotace na úhradu ceny za dílo </w:t>
      </w:r>
      <w:r>
        <w:rPr>
          <w:sz w:val="24"/>
          <w:szCs w:val="24"/>
        </w:rPr>
        <w:t xml:space="preserve">atd.), je každá z obou stran povinna o této skutečnosti informovat neprodleně písemně druhou </w:t>
      </w:r>
      <w:proofErr w:type="gramStart"/>
      <w:r>
        <w:rPr>
          <w:sz w:val="24"/>
          <w:szCs w:val="24"/>
        </w:rPr>
        <w:t>stranu</w:t>
      </w:r>
      <w:proofErr w:type="gramEnd"/>
      <w:r>
        <w:rPr>
          <w:sz w:val="24"/>
          <w:szCs w:val="24"/>
        </w:rPr>
        <w:t xml:space="preserve"> jakmile se o nich dozví. Vyžádá-li si vznik této skutečnosti změnu smlouvy, bude smlouva upravena písemným dodatkem. </w:t>
      </w:r>
    </w:p>
    <w:p w14:paraId="002316FE" w14:textId="77777777" w:rsidR="00AD37D9" w:rsidRDefault="00AD37D9" w:rsidP="00AD37D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5D35CD10" w14:textId="77777777" w:rsidR="00AD37D9" w:rsidRDefault="00AD37D9" w:rsidP="00AD37D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Odměna za plnění, úhrada nákladů</w:t>
      </w:r>
    </w:p>
    <w:p w14:paraId="7408C0E4" w14:textId="5CF15130" w:rsidR="00AD37D9" w:rsidRDefault="00AD37D9" w:rsidP="00AD37D9">
      <w:pPr>
        <w:numPr>
          <w:ilvl w:val="1"/>
          <w:numId w:val="4"/>
        </w:numPr>
        <w:tabs>
          <w:tab w:val="clear" w:pos="360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 w:rsidRPr="00D469E7">
        <w:rPr>
          <w:sz w:val="24"/>
          <w:szCs w:val="24"/>
        </w:rPr>
        <w:t xml:space="preserve">Objednatel se zavazuje uhradit </w:t>
      </w:r>
      <w:r w:rsidRPr="00C50342">
        <w:rPr>
          <w:sz w:val="24"/>
          <w:szCs w:val="24"/>
        </w:rPr>
        <w:t>zhotoviteli za provedení díla cenu, která činí</w:t>
      </w:r>
      <w:r w:rsidR="009626E1">
        <w:rPr>
          <w:sz w:val="24"/>
          <w:szCs w:val="24"/>
        </w:rPr>
        <w:t xml:space="preserve"> </w:t>
      </w:r>
      <w:r w:rsidR="00E770B9">
        <w:rPr>
          <w:sz w:val="24"/>
          <w:szCs w:val="24"/>
        </w:rPr>
        <w:t>………</w:t>
      </w:r>
      <w:r>
        <w:t xml:space="preserve"> </w:t>
      </w:r>
      <w:r w:rsidRPr="00A84836">
        <w:rPr>
          <w:b/>
          <w:sz w:val="24"/>
          <w:szCs w:val="24"/>
        </w:rPr>
        <w:t>Kč bez DPH</w:t>
      </w:r>
      <w:r w:rsidRPr="00C50342">
        <w:rPr>
          <w:sz w:val="24"/>
          <w:szCs w:val="24"/>
        </w:rPr>
        <w:t xml:space="preserve">, tj. </w:t>
      </w:r>
      <w:r w:rsidR="00E770B9" w:rsidRPr="00A84836">
        <w:rPr>
          <w:b/>
          <w:sz w:val="24"/>
          <w:szCs w:val="24"/>
        </w:rPr>
        <w:t>…….</w:t>
      </w:r>
      <w:r w:rsidRPr="00A84836">
        <w:rPr>
          <w:b/>
        </w:rPr>
        <w:t xml:space="preserve"> </w:t>
      </w:r>
      <w:r w:rsidRPr="00A84836">
        <w:rPr>
          <w:b/>
          <w:sz w:val="24"/>
          <w:szCs w:val="24"/>
        </w:rPr>
        <w:t>Kč včetně DPH</w:t>
      </w:r>
      <w:r w:rsidR="00852199">
        <w:rPr>
          <w:sz w:val="24"/>
          <w:szCs w:val="24"/>
        </w:rPr>
        <w:t>.</w:t>
      </w:r>
      <w:r w:rsidR="00A84836" w:rsidRPr="00894ABF">
        <w:rPr>
          <w:sz w:val="24"/>
          <w:szCs w:val="24"/>
        </w:rPr>
        <w:t xml:space="preserve"> Tato cena díla </w:t>
      </w:r>
      <w:r w:rsidR="00A84836">
        <w:rPr>
          <w:b/>
          <w:sz w:val="24"/>
          <w:szCs w:val="24"/>
        </w:rPr>
        <w:t>……</w:t>
      </w:r>
      <w:proofErr w:type="gramStart"/>
      <w:r w:rsidR="00A84836">
        <w:rPr>
          <w:b/>
          <w:sz w:val="24"/>
          <w:szCs w:val="24"/>
        </w:rPr>
        <w:t>…….</w:t>
      </w:r>
      <w:proofErr w:type="gramEnd"/>
      <w:r w:rsidR="00A84836">
        <w:rPr>
          <w:b/>
          <w:sz w:val="24"/>
          <w:szCs w:val="24"/>
        </w:rPr>
        <w:t>.</w:t>
      </w:r>
      <w:r w:rsidR="00A84836" w:rsidRPr="00894ABF">
        <w:rPr>
          <w:b/>
          <w:sz w:val="24"/>
          <w:szCs w:val="24"/>
        </w:rPr>
        <w:t xml:space="preserve"> Kč </w:t>
      </w:r>
      <w:r w:rsidR="00A84836" w:rsidRPr="00894ABF">
        <w:rPr>
          <w:sz w:val="24"/>
          <w:szCs w:val="24"/>
        </w:rPr>
        <w:t>vč. DPH se rozumí v této smlouvě celkovou cenou díla</w:t>
      </w:r>
      <w:r w:rsidR="009626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tbl>
      <w:tblPr>
        <w:tblW w:w="93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087"/>
        <w:gridCol w:w="820"/>
        <w:gridCol w:w="1034"/>
        <w:gridCol w:w="1660"/>
      </w:tblGrid>
      <w:tr w:rsidR="00E96E00" w:rsidRPr="00E96E00" w14:paraId="40BFB82E" w14:textId="77777777" w:rsidTr="00777CBB">
        <w:trPr>
          <w:trHeight w:val="555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137358" w14:textId="77777777" w:rsidR="00E96E00" w:rsidRPr="001E6DC0" w:rsidRDefault="00E96E00" w:rsidP="00E96E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DC0">
              <w:rPr>
                <w:b/>
                <w:bCs/>
                <w:sz w:val="24"/>
                <w:szCs w:val="24"/>
              </w:rPr>
              <w:t>Název činnosti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3CD5D3" w14:textId="77777777" w:rsidR="00E96E00" w:rsidRPr="001E6DC0" w:rsidRDefault="00E96E00" w:rsidP="00E96E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DC0">
              <w:rPr>
                <w:b/>
                <w:bCs/>
                <w:sz w:val="24"/>
                <w:szCs w:val="24"/>
              </w:rPr>
              <w:t>Jednotka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FE3FE34" w14:textId="77777777" w:rsidR="00E96E00" w:rsidRPr="001E6DC0" w:rsidRDefault="00E96E00" w:rsidP="00E96E0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E6DC0">
              <w:rPr>
                <w:b/>
                <w:bCs/>
                <w:sz w:val="24"/>
                <w:szCs w:val="24"/>
              </w:rPr>
              <w:t>Jedn</w:t>
            </w:r>
            <w:proofErr w:type="spellEnd"/>
            <w:r w:rsidRPr="001E6DC0">
              <w:rPr>
                <w:b/>
                <w:bCs/>
                <w:sz w:val="24"/>
                <w:szCs w:val="24"/>
              </w:rPr>
              <w:t>. cena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9C0926" w14:textId="77777777" w:rsidR="00E96E00" w:rsidRPr="001E6DC0" w:rsidRDefault="00E96E00" w:rsidP="00E96E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DC0">
              <w:rPr>
                <w:b/>
                <w:bCs/>
                <w:sz w:val="24"/>
                <w:szCs w:val="24"/>
              </w:rPr>
              <w:t>Počet jednotek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517E52D" w14:textId="77777777" w:rsidR="00E96E00" w:rsidRPr="001E6DC0" w:rsidRDefault="00E96E00" w:rsidP="00E96E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DC0">
              <w:rPr>
                <w:b/>
                <w:bCs/>
                <w:sz w:val="24"/>
                <w:szCs w:val="24"/>
              </w:rPr>
              <w:t>Celkem Kč</w:t>
            </w:r>
          </w:p>
        </w:tc>
      </w:tr>
      <w:tr w:rsidR="0014103F" w:rsidRPr="00E96E00" w14:paraId="6A925A12" w14:textId="77777777" w:rsidTr="00777CBB">
        <w:trPr>
          <w:trHeight w:val="5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004AB4A" w14:textId="1588CFC1" w:rsidR="0014103F" w:rsidRPr="001E6DC0" w:rsidRDefault="0014103F" w:rsidP="0014103F">
            <w:pPr>
              <w:jc w:val="center"/>
              <w:rPr>
                <w:bCs/>
                <w:sz w:val="24"/>
                <w:szCs w:val="24"/>
              </w:rPr>
            </w:pPr>
            <w:r w:rsidRPr="001E6DC0">
              <w:rPr>
                <w:bCs/>
                <w:sz w:val="24"/>
                <w:szCs w:val="24"/>
              </w:rPr>
              <w:t xml:space="preserve">Náklady deponace (včetně materiálu, krmení, vyšetření </w:t>
            </w:r>
            <w:proofErr w:type="spellStart"/>
            <w:r w:rsidRPr="001E6DC0">
              <w:rPr>
                <w:bCs/>
                <w:sz w:val="24"/>
                <w:szCs w:val="24"/>
              </w:rPr>
              <w:t>chytridiomykózy</w:t>
            </w:r>
            <w:proofErr w:type="spellEnd"/>
            <w:r w:rsidR="001E6DC0" w:rsidRPr="001E6DC0">
              <w:rPr>
                <w:bCs/>
                <w:sz w:val="24"/>
                <w:szCs w:val="24"/>
              </w:rPr>
              <w:t>, léčby</w:t>
            </w:r>
            <w:r w:rsidRPr="001E6DC0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E2C1C88" w14:textId="6F01439A" w:rsidR="0014103F" w:rsidRPr="001E6DC0" w:rsidRDefault="0014103F" w:rsidP="0014103F">
            <w:pPr>
              <w:jc w:val="center"/>
              <w:rPr>
                <w:bCs/>
                <w:sz w:val="24"/>
                <w:szCs w:val="24"/>
              </w:rPr>
            </w:pPr>
            <w:r w:rsidRPr="001E6DC0">
              <w:rPr>
                <w:bCs/>
                <w:sz w:val="24"/>
                <w:szCs w:val="24"/>
              </w:rPr>
              <w:t>1</w:t>
            </w:r>
            <w:r w:rsidR="00777CBB" w:rsidRPr="001E6DC0">
              <w:rPr>
                <w:bCs/>
                <w:sz w:val="24"/>
                <w:szCs w:val="24"/>
              </w:rPr>
              <w:t xml:space="preserve"> ks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4F87E9" w14:textId="77777777" w:rsidR="0014103F" w:rsidRPr="001E6DC0" w:rsidRDefault="0014103F" w:rsidP="00E96E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1DF53F" w14:textId="159635D7" w:rsidR="0014103F" w:rsidRPr="001E6DC0" w:rsidRDefault="0014103F" w:rsidP="00E96E00">
            <w:pPr>
              <w:jc w:val="center"/>
              <w:rPr>
                <w:bCs/>
                <w:sz w:val="24"/>
                <w:szCs w:val="24"/>
              </w:rPr>
            </w:pPr>
            <w:r w:rsidRPr="001E6DC0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14:paraId="6B56589C" w14:textId="77777777" w:rsidR="0014103F" w:rsidRPr="001E6DC0" w:rsidRDefault="0014103F" w:rsidP="00E96E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103F" w:rsidRPr="00E96E00" w14:paraId="292A7A4A" w14:textId="77777777" w:rsidTr="00777CBB">
        <w:trPr>
          <w:trHeight w:val="5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91CFA0" w14:textId="5EDB5C8D" w:rsidR="0014103F" w:rsidRPr="001E6DC0" w:rsidRDefault="0014103F" w:rsidP="0014103F">
            <w:pPr>
              <w:jc w:val="center"/>
              <w:rPr>
                <w:bCs/>
                <w:sz w:val="24"/>
                <w:szCs w:val="24"/>
              </w:rPr>
            </w:pPr>
            <w:r w:rsidRPr="001E6DC0">
              <w:rPr>
                <w:bCs/>
                <w:sz w:val="24"/>
                <w:szCs w:val="24"/>
              </w:rPr>
              <w:t xml:space="preserve">Náklady na dopravu včetně odchytu a zpětného vypuštění kuněk obecných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BD6EA1E" w14:textId="1E8B5C50" w:rsidR="0014103F" w:rsidRPr="001E6DC0" w:rsidRDefault="00777CBB" w:rsidP="00E96E00">
            <w:pPr>
              <w:jc w:val="center"/>
              <w:rPr>
                <w:bCs/>
                <w:sz w:val="24"/>
                <w:szCs w:val="24"/>
              </w:rPr>
            </w:pPr>
            <w:r w:rsidRPr="001E6DC0">
              <w:rPr>
                <w:bCs/>
                <w:sz w:val="24"/>
                <w:szCs w:val="24"/>
              </w:rPr>
              <w:t>1 ks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E05531" w14:textId="77777777" w:rsidR="0014103F" w:rsidRPr="001E6DC0" w:rsidRDefault="0014103F" w:rsidP="00E96E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311FE7" w14:textId="63613C28" w:rsidR="0014103F" w:rsidRPr="001E6DC0" w:rsidRDefault="00777CBB" w:rsidP="00E96E00">
            <w:pPr>
              <w:jc w:val="center"/>
              <w:rPr>
                <w:bCs/>
                <w:sz w:val="24"/>
                <w:szCs w:val="24"/>
              </w:rPr>
            </w:pPr>
            <w:r w:rsidRPr="001E6DC0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14:paraId="7AA1B85B" w14:textId="77777777" w:rsidR="0014103F" w:rsidRPr="001E6DC0" w:rsidRDefault="0014103F" w:rsidP="00E96E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103F" w:rsidRPr="00E96E00" w14:paraId="5987F53C" w14:textId="77777777" w:rsidTr="00777CBB">
        <w:trPr>
          <w:trHeight w:val="5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060C53" w14:textId="3806258D" w:rsidR="0014103F" w:rsidRPr="001E6DC0" w:rsidRDefault="0014103F" w:rsidP="0014103F">
            <w:pPr>
              <w:jc w:val="center"/>
              <w:rPr>
                <w:bCs/>
                <w:sz w:val="24"/>
                <w:szCs w:val="24"/>
              </w:rPr>
            </w:pPr>
            <w:r w:rsidRPr="001E6DC0">
              <w:rPr>
                <w:sz w:val="24"/>
                <w:szCs w:val="24"/>
              </w:rPr>
              <w:t xml:space="preserve">Zpracování zprávy o deponaci a </w:t>
            </w:r>
            <w:proofErr w:type="spellStart"/>
            <w:r w:rsidRPr="001E6DC0">
              <w:rPr>
                <w:sz w:val="24"/>
                <w:szCs w:val="24"/>
              </w:rPr>
              <w:t>reintrodukci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13BDF7" w14:textId="244DB53B" w:rsidR="0014103F" w:rsidRPr="001E6DC0" w:rsidRDefault="00777CBB" w:rsidP="00E96E00">
            <w:pPr>
              <w:jc w:val="center"/>
              <w:rPr>
                <w:bCs/>
                <w:sz w:val="24"/>
                <w:szCs w:val="24"/>
              </w:rPr>
            </w:pPr>
            <w:r w:rsidRPr="001E6D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86BA9A3" w14:textId="77777777" w:rsidR="0014103F" w:rsidRPr="001E6DC0" w:rsidRDefault="0014103F" w:rsidP="00E96E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57A443" w14:textId="542E6516" w:rsidR="0014103F" w:rsidRPr="001E6DC0" w:rsidRDefault="00777CBB" w:rsidP="00E96E00">
            <w:pPr>
              <w:jc w:val="center"/>
              <w:rPr>
                <w:bCs/>
                <w:sz w:val="24"/>
                <w:szCs w:val="24"/>
              </w:rPr>
            </w:pPr>
            <w:r w:rsidRPr="001E6D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14:paraId="4E457435" w14:textId="77777777" w:rsidR="0014103F" w:rsidRPr="001E6DC0" w:rsidRDefault="0014103F" w:rsidP="00E96E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6E00" w:rsidRPr="00E96E00" w14:paraId="4636FD1B" w14:textId="77777777" w:rsidTr="00777CBB">
        <w:trPr>
          <w:trHeight w:val="25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35CDEA" w14:textId="77777777" w:rsidR="00E96E00" w:rsidRPr="001E6DC0" w:rsidRDefault="00E96E00" w:rsidP="00E96E00">
            <w:pPr>
              <w:rPr>
                <w:b/>
                <w:bCs/>
                <w:sz w:val="24"/>
                <w:szCs w:val="24"/>
              </w:rPr>
            </w:pPr>
            <w:r w:rsidRPr="001E6DC0">
              <w:rPr>
                <w:b/>
                <w:bCs/>
                <w:sz w:val="24"/>
                <w:szCs w:val="24"/>
              </w:rPr>
              <w:t>Celkem (bez DPH)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32295071" w14:textId="7765B2E6" w:rsidR="00E96E00" w:rsidRPr="001E6DC0" w:rsidRDefault="00E96E00" w:rsidP="00E96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5FFCEFF" w14:textId="77970347" w:rsidR="00E96E00" w:rsidRPr="001E6DC0" w:rsidRDefault="00E96E00" w:rsidP="00E96E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1B50591" w14:textId="087B2715" w:rsidR="00E96E00" w:rsidRPr="001E6DC0" w:rsidRDefault="00E96E00" w:rsidP="00E96E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14:paraId="48A39279" w14:textId="12E8CFDE" w:rsidR="00E96E00" w:rsidRPr="001E6DC0" w:rsidRDefault="00E96E00" w:rsidP="00E96E0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96E00" w:rsidRPr="00E96E00" w14:paraId="097D4741" w14:textId="77777777" w:rsidTr="00777CBB">
        <w:trPr>
          <w:trHeight w:val="25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C3C8" w14:textId="77777777" w:rsidR="00E96E00" w:rsidRPr="001E6DC0" w:rsidRDefault="00E96E00" w:rsidP="00E96E00">
            <w:pPr>
              <w:rPr>
                <w:sz w:val="24"/>
                <w:szCs w:val="24"/>
              </w:rPr>
            </w:pPr>
            <w:r w:rsidRPr="001E6DC0">
              <w:rPr>
                <w:sz w:val="24"/>
                <w:szCs w:val="24"/>
              </w:rPr>
              <w:t>DPH 21 %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BABA" w14:textId="75B6701F" w:rsidR="00E96E00" w:rsidRPr="001E6DC0" w:rsidRDefault="00E96E00" w:rsidP="00E96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6111" w14:textId="43858E71" w:rsidR="00E96E00" w:rsidRPr="001E6DC0" w:rsidRDefault="00E96E00" w:rsidP="00E96E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8771" w14:textId="2951D5D8" w:rsidR="00E96E00" w:rsidRPr="001E6DC0" w:rsidRDefault="00E96E00" w:rsidP="00E96E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FD1B8" w14:textId="138D285B" w:rsidR="00E96E00" w:rsidRPr="001E6DC0" w:rsidRDefault="00E96E00" w:rsidP="00E96E00">
            <w:pPr>
              <w:jc w:val="right"/>
              <w:rPr>
                <w:sz w:val="24"/>
                <w:szCs w:val="24"/>
              </w:rPr>
            </w:pPr>
          </w:p>
        </w:tc>
      </w:tr>
      <w:tr w:rsidR="00E96E00" w:rsidRPr="00E96E00" w14:paraId="37E95457" w14:textId="77777777" w:rsidTr="00777CBB">
        <w:trPr>
          <w:trHeight w:val="27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4010" w14:textId="77777777" w:rsidR="00E96E00" w:rsidRPr="001E6DC0" w:rsidRDefault="00E96E00" w:rsidP="00E96E00">
            <w:pPr>
              <w:rPr>
                <w:b/>
                <w:bCs/>
                <w:sz w:val="24"/>
                <w:szCs w:val="24"/>
              </w:rPr>
            </w:pPr>
            <w:r w:rsidRPr="001E6DC0">
              <w:rPr>
                <w:b/>
                <w:bCs/>
                <w:sz w:val="24"/>
                <w:szCs w:val="24"/>
              </w:rPr>
              <w:t>CELKEM vč. DPH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692D" w14:textId="3D69E194" w:rsidR="00E96E00" w:rsidRPr="001E6DC0" w:rsidRDefault="00E96E00" w:rsidP="00E96E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A223" w14:textId="795B44C3" w:rsidR="00E96E00" w:rsidRPr="001E6DC0" w:rsidRDefault="00E96E00" w:rsidP="00E96E0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FACB" w14:textId="397284BE" w:rsidR="00E96E00" w:rsidRPr="001E6DC0" w:rsidRDefault="00E96E00" w:rsidP="00E96E0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23509" w14:textId="72F844C1" w:rsidR="00E96E00" w:rsidRPr="001E6DC0" w:rsidRDefault="00E96E00" w:rsidP="00E96E0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0EDCF081" w14:textId="57954681" w:rsidR="008424AD" w:rsidRDefault="00AD37D9" w:rsidP="00922C16">
      <w:pPr>
        <w:spacing w:before="240" w:after="120"/>
        <w:ind w:left="709"/>
        <w:jc w:val="both"/>
        <w:rPr>
          <w:sz w:val="24"/>
          <w:szCs w:val="24"/>
        </w:rPr>
      </w:pPr>
      <w:r w:rsidRPr="00D469E7">
        <w:rPr>
          <w:sz w:val="24"/>
          <w:szCs w:val="24"/>
        </w:rPr>
        <w:t xml:space="preserve">Sjednaná cena je konečná a maximální a je stanovena v souladu se zákonem číslo 526/1990 Sb., o cenách, </w:t>
      </w:r>
      <w:r>
        <w:rPr>
          <w:sz w:val="24"/>
          <w:szCs w:val="24"/>
        </w:rPr>
        <w:t xml:space="preserve">ve znění pozdějších předpisů, </w:t>
      </w:r>
      <w:r w:rsidRPr="00D469E7">
        <w:rPr>
          <w:sz w:val="24"/>
          <w:szCs w:val="24"/>
        </w:rPr>
        <w:t xml:space="preserve">jako cena smluvní. Celková cena odpovídá výši nabídky podané zhotovitelem </w:t>
      </w:r>
      <w:r w:rsidR="00852199">
        <w:rPr>
          <w:sz w:val="24"/>
          <w:szCs w:val="24"/>
        </w:rPr>
        <w:t xml:space="preserve">v poptávkovém </w:t>
      </w:r>
      <w:r>
        <w:rPr>
          <w:sz w:val="24"/>
          <w:szCs w:val="24"/>
        </w:rPr>
        <w:t>řízení</w:t>
      </w:r>
      <w:r w:rsidRPr="00D469E7">
        <w:rPr>
          <w:sz w:val="24"/>
          <w:szCs w:val="24"/>
        </w:rPr>
        <w:t>.</w:t>
      </w:r>
    </w:p>
    <w:p w14:paraId="4D033A23" w14:textId="14BEA087" w:rsidR="00922C16" w:rsidRDefault="00922C16" w:rsidP="00922C16">
      <w:pPr>
        <w:numPr>
          <w:ilvl w:val="1"/>
          <w:numId w:val="4"/>
        </w:numPr>
        <w:tabs>
          <w:tab w:val="clear" w:pos="360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Dohodnutá cena zahrnuje i veškeré náklady zhotovitele související s </w:t>
      </w:r>
      <w:r w:rsidR="00852199">
        <w:rPr>
          <w:sz w:val="24"/>
          <w:szCs w:val="24"/>
        </w:rPr>
        <w:t>prováděním díla</w:t>
      </w:r>
      <w:r>
        <w:rPr>
          <w:sz w:val="24"/>
          <w:szCs w:val="24"/>
        </w:rPr>
        <w:t>.</w:t>
      </w:r>
    </w:p>
    <w:p w14:paraId="4076F18F" w14:textId="77777777" w:rsidR="00922C16" w:rsidRDefault="00922C16" w:rsidP="00922C16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E1DD22B" w14:textId="77777777"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 a fakturace</w:t>
      </w:r>
    </w:p>
    <w:p w14:paraId="49147F95" w14:textId="4C028AD6" w:rsidR="00922C16" w:rsidRDefault="00777CBB" w:rsidP="00777CBB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 w:rsidRPr="00777CBB">
        <w:rPr>
          <w:sz w:val="24"/>
          <w:szCs w:val="24"/>
        </w:rPr>
        <w:t>Faktura na úhradu ceny za konečn</w:t>
      </w:r>
      <w:r w:rsidR="001E6DC0">
        <w:rPr>
          <w:sz w:val="24"/>
          <w:szCs w:val="24"/>
        </w:rPr>
        <w:t>é</w:t>
      </w:r>
      <w:r w:rsidRPr="00777CBB">
        <w:rPr>
          <w:sz w:val="24"/>
          <w:szCs w:val="24"/>
        </w:rPr>
        <w:t xml:space="preserve"> plnění podle bodu 3.1 této smlouvy bude vystavena zhotovitelem a předána objednateli současně s protokolárním převzetím díla </w:t>
      </w:r>
      <w:r w:rsidRPr="00777CBB">
        <w:rPr>
          <w:sz w:val="24"/>
          <w:szCs w:val="24"/>
        </w:rPr>
        <w:lastRenderedPageBreak/>
        <w:t>dle bodu 2.</w:t>
      </w:r>
      <w:r>
        <w:rPr>
          <w:sz w:val="24"/>
          <w:szCs w:val="24"/>
        </w:rPr>
        <w:t>3</w:t>
      </w:r>
      <w:r w:rsidRPr="00777CBB">
        <w:rPr>
          <w:sz w:val="24"/>
          <w:szCs w:val="24"/>
        </w:rPr>
        <w:t>., nejpozději však do 14 dní ode dne podpisu protokolu o převzetí díla oběma smluvními stranami.</w:t>
      </w:r>
    </w:p>
    <w:p w14:paraId="326F474E" w14:textId="6B83DE1A" w:rsidR="00922C16" w:rsidRDefault="00331702" w:rsidP="00A8483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Faktur</w:t>
      </w:r>
      <w:r w:rsidR="00A84836">
        <w:rPr>
          <w:sz w:val="24"/>
          <w:szCs w:val="24"/>
        </w:rPr>
        <w:t>a</w:t>
      </w:r>
      <w:r>
        <w:rPr>
          <w:sz w:val="24"/>
          <w:szCs w:val="24"/>
        </w:rPr>
        <w:t xml:space="preserve"> bude mít tyto minimální náležitosti: bude zpracována v tištěné podobě, bude obsahovat označení faktury a její číslo, název </w:t>
      </w:r>
      <w:r w:rsidR="00852199">
        <w:rPr>
          <w:sz w:val="24"/>
          <w:szCs w:val="24"/>
        </w:rPr>
        <w:t xml:space="preserve">projektu: </w:t>
      </w:r>
      <w:r w:rsidR="00A84836" w:rsidRPr="00A84836">
        <w:rPr>
          <w:b/>
          <w:sz w:val="24"/>
          <w:szCs w:val="24"/>
        </w:rPr>
        <w:t>Odbahnění mokřadu v evropsky významné lokalitě a přírodní památce Jablonná - mokřad</w:t>
      </w:r>
      <w:r>
        <w:rPr>
          <w:sz w:val="24"/>
          <w:szCs w:val="24"/>
        </w:rPr>
        <w:t xml:space="preserve">, registrační číslo projektu: </w:t>
      </w:r>
      <w:r w:rsidR="00A84836" w:rsidRPr="00A84836">
        <w:rPr>
          <w:sz w:val="24"/>
          <w:szCs w:val="24"/>
        </w:rPr>
        <w:t>CZ.05.4.27/0.0/0.0/16_031/0008667</w:t>
      </w:r>
      <w:r>
        <w:rPr>
          <w:sz w:val="24"/>
          <w:szCs w:val="24"/>
        </w:rPr>
        <w:t>, identifikační číslo a sídlo zhotovitele, bankovní spojení, označení předmětu smlouvy</w:t>
      </w:r>
      <w:r w:rsidR="00777CBB">
        <w:rPr>
          <w:sz w:val="24"/>
          <w:szCs w:val="24"/>
        </w:rPr>
        <w:t xml:space="preserve"> „</w:t>
      </w:r>
      <w:r w:rsidR="00777CBB" w:rsidRPr="005A105E">
        <w:rPr>
          <w:b/>
          <w:sz w:val="24"/>
        </w:rPr>
        <w:t xml:space="preserve">Odbahnění mokřadu v EVL a PP Jablonná </w:t>
      </w:r>
      <w:r w:rsidR="00777CBB">
        <w:rPr>
          <w:b/>
          <w:sz w:val="24"/>
        </w:rPr>
        <w:t>–</w:t>
      </w:r>
      <w:r w:rsidR="00777CBB" w:rsidRPr="005A105E">
        <w:rPr>
          <w:b/>
          <w:sz w:val="24"/>
        </w:rPr>
        <w:t xml:space="preserve"> mokřad</w:t>
      </w:r>
      <w:r w:rsidR="00777CBB">
        <w:rPr>
          <w:b/>
          <w:sz w:val="24"/>
        </w:rPr>
        <w:t xml:space="preserve"> – deponace na </w:t>
      </w:r>
      <w:proofErr w:type="spellStart"/>
      <w:r w:rsidR="008007E1">
        <w:rPr>
          <w:b/>
          <w:sz w:val="24"/>
        </w:rPr>
        <w:t>batrachologickou</w:t>
      </w:r>
      <w:proofErr w:type="spellEnd"/>
      <w:r w:rsidR="00777CBB">
        <w:rPr>
          <w:b/>
          <w:sz w:val="24"/>
        </w:rPr>
        <w:t xml:space="preserve"> stanici“</w:t>
      </w:r>
      <w:r>
        <w:rPr>
          <w:sz w:val="24"/>
          <w:szCs w:val="24"/>
        </w:rPr>
        <w:t xml:space="preserve">, </w:t>
      </w:r>
      <w:r w:rsidR="00777CBB">
        <w:rPr>
          <w:sz w:val="24"/>
          <w:szCs w:val="24"/>
        </w:rPr>
        <w:t>rozpočet prací,</w:t>
      </w:r>
      <w:r>
        <w:rPr>
          <w:sz w:val="24"/>
          <w:szCs w:val="24"/>
        </w:rPr>
        <w:t> vyfakturovanou částku a dále veškeré náležitosti daňového dokladu dle platných právních předpisů.</w:t>
      </w:r>
    </w:p>
    <w:p w14:paraId="720F3C72" w14:textId="77777777"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Faktura vystavená zhotovitelem je splatná do 30 dnů po jejím obdržení objednatelem.</w:t>
      </w:r>
    </w:p>
    <w:p w14:paraId="4D8EDBB2" w14:textId="77777777"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Objednatel může fakturu vrátit do data její splatnosti, pokud bude obsahovat nesprávné nebo neúplné náležitosti či údaje; faktura v takovém případě pozbývá splatnosti.</w:t>
      </w:r>
    </w:p>
    <w:p w14:paraId="7C8F2649" w14:textId="77777777" w:rsidR="00922C16" w:rsidRDefault="00922C16" w:rsidP="00922C16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1ABCAA92" w14:textId="77777777"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pokuta</w:t>
      </w:r>
    </w:p>
    <w:p w14:paraId="52E853D1" w14:textId="6EEB30FD" w:rsidR="00922C16" w:rsidRDefault="00852199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V případě prodlení s provedením díla v termínech uvedených v čl. 2</w:t>
      </w:r>
      <w:r w:rsidR="005A401F">
        <w:rPr>
          <w:sz w:val="24"/>
          <w:szCs w:val="24"/>
        </w:rPr>
        <w:t xml:space="preserve"> odst. 2.1</w:t>
      </w:r>
      <w:r>
        <w:rPr>
          <w:sz w:val="24"/>
          <w:szCs w:val="24"/>
        </w:rPr>
        <w:t xml:space="preserve"> této smlouvy</w:t>
      </w:r>
      <w:r w:rsidR="005A401F">
        <w:rPr>
          <w:sz w:val="24"/>
          <w:szCs w:val="24"/>
        </w:rPr>
        <w:t xml:space="preserve"> je zhotovitel povinen zaplatit objednateli smluvní pokutu ve výši 0,2 % z celkové ceny díla za každý i započatý den prodlení. </w:t>
      </w:r>
    </w:p>
    <w:p w14:paraId="0AD59B32" w14:textId="0420782B" w:rsidR="005A401F" w:rsidRDefault="005A401F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V případě provádění prací na díle v jiných termínech, než je uvedeno v čl. 2, odst. 2.1 této smlouvy je zhotovitel povinen zaplatit objednateli smluvní pokutu ve výši 0,2 % z celkové ce</w:t>
      </w:r>
      <w:r w:rsidR="0070356C">
        <w:rPr>
          <w:sz w:val="24"/>
          <w:szCs w:val="24"/>
        </w:rPr>
        <w:t>ny díla za každý i započatý den, kdy provádí práce mimo termíny v uvedeném ustanovení smlouvy sjednané.</w:t>
      </w:r>
    </w:p>
    <w:p w14:paraId="14B50A74" w14:textId="77777777" w:rsidR="00922C16" w:rsidRPr="00357408" w:rsidRDefault="00922C16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Úhradou kterékoliv smluvní pokuty dle této smlouvy zhotovitelem není dotčeno právo objednatele na úhradu škody vzniklé v souvislosti s porušením závazku zhotovitele, za který je smluvní pokuta stanovena.</w:t>
      </w:r>
    </w:p>
    <w:p w14:paraId="005EC4E2" w14:textId="77777777" w:rsidR="00922C16" w:rsidRDefault="00922C16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pozastavit úhradu kterékoliv platby ve prospěch zhotovitele, pokud je zhotovitel v prodlení s plněním jakéhokoliv závazku vůči objednateli a provést zápočet svých pohledávek za zhotovitelem vůči pohledávkám zhotovitele za objednatelem.</w:t>
      </w:r>
    </w:p>
    <w:p w14:paraId="4EB3C32E" w14:textId="77777777" w:rsidR="00922C16" w:rsidRDefault="00922C16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odstoupení od smlouvy objednatelem z důvodu podstatného porušení smluvních povinností zhotovitelem je zhotovitel povinen zaplatit smluvní pokutu ve výši </w:t>
      </w:r>
      <w:r w:rsidRPr="00FB6164">
        <w:rPr>
          <w:sz w:val="24"/>
          <w:szCs w:val="24"/>
        </w:rPr>
        <w:t>35</w:t>
      </w:r>
      <w:r w:rsidRPr="000D20A9">
        <w:rPr>
          <w:sz w:val="24"/>
          <w:szCs w:val="24"/>
        </w:rPr>
        <w:t xml:space="preserve"> </w:t>
      </w:r>
      <w:r>
        <w:rPr>
          <w:sz w:val="24"/>
          <w:szCs w:val="24"/>
        </w:rPr>
        <w:t>% z celkové ceny díla.</w:t>
      </w:r>
    </w:p>
    <w:p w14:paraId="61539493" w14:textId="2A65950B" w:rsidR="00482DCC" w:rsidRPr="00482DCC" w:rsidRDefault="00482DCC" w:rsidP="00482DCC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 w:rsidRPr="00482DCC">
        <w:rPr>
          <w:sz w:val="24"/>
          <w:szCs w:val="24"/>
        </w:rPr>
        <w:t xml:space="preserve">Smluvní pokuta a úrok z prodlení jsou splatné do </w:t>
      </w:r>
      <w:r w:rsidR="0070356C">
        <w:rPr>
          <w:sz w:val="24"/>
          <w:szCs w:val="24"/>
        </w:rPr>
        <w:t>30</w:t>
      </w:r>
      <w:r w:rsidR="0070356C" w:rsidRPr="00482DCC">
        <w:rPr>
          <w:sz w:val="24"/>
          <w:szCs w:val="24"/>
        </w:rPr>
        <w:t xml:space="preserve"> </w:t>
      </w:r>
      <w:r w:rsidRPr="00482DCC">
        <w:rPr>
          <w:sz w:val="24"/>
          <w:szCs w:val="24"/>
        </w:rPr>
        <w:t>dní od data, kdy byla povinné straně doručena písemná výzva k zaplacení ze strany oprávněné strany, a to na účet oprávněné strany uvedený v písemné výzvě</w:t>
      </w:r>
      <w:r>
        <w:rPr>
          <w:sz w:val="24"/>
          <w:szCs w:val="24"/>
        </w:rPr>
        <w:t>, pokud nebude využit postup dle č. 5 odst. 5.</w:t>
      </w:r>
      <w:r w:rsidR="0028063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482DCC">
        <w:rPr>
          <w:sz w:val="24"/>
          <w:szCs w:val="24"/>
        </w:rPr>
        <w:t xml:space="preserve"> </w:t>
      </w:r>
    </w:p>
    <w:p w14:paraId="5E77C3F6" w14:textId="58EDB0D6" w:rsidR="00482DCC" w:rsidRPr="00482DCC" w:rsidRDefault="00482DCC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 w:rsidRPr="00482DCC">
        <w:rPr>
          <w:sz w:val="24"/>
          <w:szCs w:val="24"/>
        </w:rPr>
        <w:t xml:space="preserve">Dle dohody smluvních stran nelze postoupit pohledávku, kterou má zhotovitel za objednatelem z titulu této smlouvy bez předchozího písemného souhlasu objednatele. Postoupení pohledávky v rozporu s tímto ustanovením je neplatné. Toto omezení bude platné i po skončení doby trvání této smlouvy. </w:t>
      </w:r>
    </w:p>
    <w:p w14:paraId="33A5982C" w14:textId="77777777"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6</w:t>
      </w:r>
    </w:p>
    <w:p w14:paraId="72CBA7B9" w14:textId="31A5D6F0" w:rsidR="00922C16" w:rsidRDefault="00C02D0B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Ukončení smlouvy</w:t>
      </w:r>
    </w:p>
    <w:p w14:paraId="316A5EC9" w14:textId="4228A444" w:rsidR="00922C16" w:rsidRDefault="00B6454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Objednatel je oprávněn odstoupit od smlouvy v případě, kdy není schopen uhradit cenu díla z důvodů </w:t>
      </w:r>
      <w:r w:rsidR="00C02D0B">
        <w:rPr>
          <w:sz w:val="24"/>
          <w:szCs w:val="24"/>
        </w:rPr>
        <w:t>neposkytnutí dotace na úhradu ceny za dílo</w:t>
      </w:r>
      <w:r>
        <w:rPr>
          <w:sz w:val="24"/>
          <w:szCs w:val="24"/>
        </w:rPr>
        <w:t>. Touto skutečností se plnění ze smlouvy považuje za nemožné a uplatní se postup podle § 2913 odst. 2 občanského zákoníku, čímž se objednatel zprostí náhrady škod zhotoviteli, což obě smluvní strany berou na vědomí.</w:t>
      </w:r>
      <w:r w:rsidR="00922C16">
        <w:rPr>
          <w:sz w:val="24"/>
          <w:szCs w:val="24"/>
        </w:rPr>
        <w:t xml:space="preserve"> </w:t>
      </w:r>
    </w:p>
    <w:p w14:paraId="58C31E68" w14:textId="605ACB1E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je oprávněn odstoupit od smlouvy v případě podstatného porušení smluvních povinností zhotovitelem. Za podstatné porušení smluvní povinnosti zhotovitelem považují smluvní strany zejména případ, kdy zhotovitel i přes upozornění objednatele nezahájí provádění </w:t>
      </w:r>
      <w:r w:rsidR="003C5A90">
        <w:rPr>
          <w:sz w:val="24"/>
          <w:szCs w:val="24"/>
        </w:rPr>
        <w:t>díla</w:t>
      </w:r>
      <w:r>
        <w:rPr>
          <w:sz w:val="24"/>
          <w:szCs w:val="24"/>
        </w:rPr>
        <w:t xml:space="preserve">, i když tomu nebrání žádné vnější vlivy, </w:t>
      </w:r>
      <w:r w:rsidR="00C02D0B">
        <w:rPr>
          <w:sz w:val="24"/>
          <w:szCs w:val="24"/>
        </w:rPr>
        <w:t xml:space="preserve">prodlení s provedením díla delším než dva týdny </w:t>
      </w:r>
      <w:r>
        <w:rPr>
          <w:sz w:val="24"/>
          <w:szCs w:val="24"/>
        </w:rPr>
        <w:t xml:space="preserve">a dále </w:t>
      </w:r>
      <w:r w:rsidR="00410F79">
        <w:rPr>
          <w:sz w:val="24"/>
          <w:szCs w:val="24"/>
        </w:rPr>
        <w:t>provádění prací mimo termíny</w:t>
      </w:r>
      <w:r w:rsidR="00C02D0B">
        <w:rPr>
          <w:sz w:val="24"/>
          <w:szCs w:val="24"/>
        </w:rPr>
        <w:t xml:space="preserve"> uvedené v této smlouvě nebo určené</w:t>
      </w:r>
      <w:r>
        <w:rPr>
          <w:sz w:val="24"/>
          <w:szCs w:val="24"/>
        </w:rPr>
        <w:t xml:space="preserve"> objednatelem na základě některého ustanovení této smlouvy.</w:t>
      </w:r>
    </w:p>
    <w:p w14:paraId="77CB853C" w14:textId="14B2743A" w:rsidR="00F005A0" w:rsidRPr="00F005A0" w:rsidRDefault="00F005A0" w:rsidP="00F005A0">
      <w:pPr>
        <w:numPr>
          <w:ilvl w:val="1"/>
          <w:numId w:val="7"/>
        </w:numPr>
        <w:snapToGrid w:val="0"/>
        <w:spacing w:after="120"/>
        <w:jc w:val="both"/>
        <w:rPr>
          <w:sz w:val="24"/>
          <w:szCs w:val="24"/>
        </w:rPr>
      </w:pPr>
      <w:r w:rsidRPr="00F005A0">
        <w:rPr>
          <w:sz w:val="24"/>
          <w:szCs w:val="24"/>
        </w:rPr>
        <w:t xml:space="preserve">V případě odstoupení od této smlouvy kteroukoliv ze smluvních stran provedou smluvní strany nejpozději do 14 dnů ode dne účinnosti odstoupení od smlouvy inventarizaci veškerých vzájemných plnění dle této smlouvy k datu účinnosti odstoupení zhotovitele od smlouvy. </w:t>
      </w:r>
    </w:p>
    <w:p w14:paraId="29AE013D" w14:textId="77777777" w:rsidR="00640E51" w:rsidRPr="00AB4269" w:rsidRDefault="00922C16" w:rsidP="00922C16">
      <w:pPr>
        <w:spacing w:before="120" w:after="120"/>
        <w:jc w:val="center"/>
        <w:rPr>
          <w:b/>
          <w:sz w:val="24"/>
          <w:szCs w:val="24"/>
        </w:rPr>
      </w:pPr>
      <w:r w:rsidRPr="00AB4269">
        <w:rPr>
          <w:b/>
          <w:sz w:val="24"/>
          <w:szCs w:val="24"/>
        </w:rPr>
        <w:t>Článek 7</w:t>
      </w:r>
      <w:r w:rsidR="00640E51" w:rsidRPr="00AB4269">
        <w:rPr>
          <w:b/>
          <w:sz w:val="24"/>
          <w:szCs w:val="24"/>
        </w:rPr>
        <w:t xml:space="preserve"> </w:t>
      </w:r>
    </w:p>
    <w:p w14:paraId="13724C9E" w14:textId="376AD4B0" w:rsidR="00922C16" w:rsidRPr="00AB4269" w:rsidRDefault="00640E51" w:rsidP="00922C16">
      <w:pPr>
        <w:spacing w:before="120" w:after="120"/>
        <w:jc w:val="center"/>
        <w:rPr>
          <w:b/>
          <w:sz w:val="24"/>
          <w:szCs w:val="24"/>
        </w:rPr>
      </w:pPr>
      <w:r w:rsidRPr="00AB4269">
        <w:rPr>
          <w:b/>
          <w:sz w:val="24"/>
          <w:szCs w:val="24"/>
        </w:rPr>
        <w:t xml:space="preserve">Prohlášení a závazky </w:t>
      </w:r>
      <w:r w:rsidR="00A11FC4">
        <w:rPr>
          <w:b/>
          <w:sz w:val="24"/>
          <w:szCs w:val="24"/>
        </w:rPr>
        <w:t>smluvních stran</w:t>
      </w:r>
    </w:p>
    <w:p w14:paraId="34CFBDF7" w14:textId="69CBE368" w:rsidR="0027544A" w:rsidRDefault="0027544A" w:rsidP="00AB4269">
      <w:pPr>
        <w:pStyle w:val="Zkladntextodsazen3"/>
        <w:numPr>
          <w:ilvl w:val="0"/>
          <w:numId w:val="25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spolupracovat se zhotovitelem v rozsahu nutném k plnění předmětu smlouvy a poskytnout zhotoviteli podklady potřebné k plnění předmětu smlouvy.</w:t>
      </w:r>
    </w:p>
    <w:p w14:paraId="71F862B8" w14:textId="29EA307C" w:rsidR="0027544A" w:rsidRDefault="00A11FC4" w:rsidP="00AB4269">
      <w:pPr>
        <w:pStyle w:val="Zkladntextodsazen3"/>
        <w:numPr>
          <w:ilvl w:val="0"/>
          <w:numId w:val="25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spolupracovat </w:t>
      </w:r>
      <w:r w:rsidR="00573A98">
        <w:rPr>
          <w:sz w:val="24"/>
          <w:szCs w:val="24"/>
        </w:rPr>
        <w:t>se zhotovitelem stavby</w:t>
      </w:r>
      <w:r w:rsidR="00503B2C">
        <w:rPr>
          <w:sz w:val="24"/>
          <w:szCs w:val="24"/>
        </w:rPr>
        <w:t xml:space="preserve"> spočívající v odbahnění mokřadu v EVL a PP Jablonná, která bude probíhat současně s prováděním díla dle této smlouvy</w:t>
      </w:r>
      <w:r w:rsidR="00573A98">
        <w:rPr>
          <w:sz w:val="24"/>
          <w:szCs w:val="24"/>
        </w:rPr>
        <w:t xml:space="preserve">, </w:t>
      </w:r>
      <w:r>
        <w:rPr>
          <w:sz w:val="24"/>
          <w:szCs w:val="24"/>
        </w:rPr>
        <w:t>s osobami vykonávajícími technický dozor</w:t>
      </w:r>
      <w:r w:rsidR="00573A98">
        <w:rPr>
          <w:sz w:val="24"/>
          <w:szCs w:val="24"/>
        </w:rPr>
        <w:t xml:space="preserve"> či</w:t>
      </w:r>
      <w:r>
        <w:rPr>
          <w:sz w:val="24"/>
          <w:szCs w:val="24"/>
        </w:rPr>
        <w:t xml:space="preserve"> biologický dozor, umožnit kont</w:t>
      </w:r>
      <w:r w:rsidRPr="00AB4269">
        <w:rPr>
          <w:sz w:val="24"/>
          <w:szCs w:val="24"/>
        </w:rPr>
        <w:t>rolu provádění díla, poskytovat podklady, řídit se jejich pokyny atd. v souladu s jejich pověřením vyplývajícím z uzavřených smluv s objednatelem či z jejich smluvního postavení</w:t>
      </w:r>
      <w:r w:rsidR="00573A98">
        <w:rPr>
          <w:sz w:val="24"/>
          <w:szCs w:val="24"/>
        </w:rPr>
        <w:t xml:space="preserve"> v souvislosti s dosažením cíle této smlouvy</w:t>
      </w:r>
      <w:r w:rsidRPr="00AB4269">
        <w:rPr>
          <w:sz w:val="24"/>
          <w:szCs w:val="24"/>
        </w:rPr>
        <w:t>. To platí i v případech, kde to není výslovně stanoveno ustanovením této smlouvy.</w:t>
      </w:r>
    </w:p>
    <w:p w14:paraId="609027F5" w14:textId="7D6E986F" w:rsidR="00A11FC4" w:rsidRDefault="00A11FC4" w:rsidP="00AB4269">
      <w:pPr>
        <w:pStyle w:val="Zkladntextodsazen3"/>
        <w:numPr>
          <w:ilvl w:val="0"/>
          <w:numId w:val="25"/>
        </w:numPr>
        <w:ind w:hanging="720"/>
        <w:jc w:val="both"/>
        <w:rPr>
          <w:sz w:val="24"/>
          <w:szCs w:val="24"/>
        </w:rPr>
      </w:pPr>
      <w:r w:rsidRPr="00AB4269">
        <w:rPr>
          <w:sz w:val="24"/>
          <w:szCs w:val="24"/>
        </w:rPr>
        <w:t>Smluvní strany na sebe přebírají nebezpečí změny okolností v souvislosti s právy a povinnostmi smluvních stran vzniklými na základě této smlouvy. Smluvní strany vylučují uplatnění ustanovení § 1765 odst. 1 a § 1766</w:t>
      </w:r>
      <w:r>
        <w:rPr>
          <w:sz w:val="24"/>
          <w:szCs w:val="24"/>
        </w:rPr>
        <w:t xml:space="preserve"> </w:t>
      </w:r>
      <w:r w:rsidRPr="00AB4269">
        <w:rPr>
          <w:sz w:val="24"/>
          <w:szCs w:val="24"/>
        </w:rPr>
        <w:t>občanského zákoníku na svůj smluvní vztah založený touto smlouvou</w:t>
      </w:r>
      <w:r w:rsidR="00905170">
        <w:rPr>
          <w:sz w:val="24"/>
          <w:szCs w:val="24"/>
        </w:rPr>
        <w:t>.</w:t>
      </w:r>
    </w:p>
    <w:p w14:paraId="22F1F981" w14:textId="73BCFB79" w:rsidR="00640E51" w:rsidRPr="00AB4269" w:rsidRDefault="00640E51" w:rsidP="00AB4269">
      <w:pPr>
        <w:pStyle w:val="Zkladntextodsazen3"/>
        <w:numPr>
          <w:ilvl w:val="0"/>
          <w:numId w:val="25"/>
        </w:numPr>
        <w:ind w:hanging="720"/>
        <w:jc w:val="both"/>
        <w:rPr>
          <w:sz w:val="24"/>
          <w:szCs w:val="24"/>
        </w:rPr>
      </w:pPr>
      <w:r w:rsidRPr="00AB4269">
        <w:rPr>
          <w:sz w:val="24"/>
          <w:szCs w:val="24"/>
          <w:lang w:val="cs-CZ" w:eastAsia="cs-CZ"/>
        </w:rPr>
        <w:t xml:space="preserve">Zhotovitel prohlašuje, že se plně seznámil s rozsahem a povahou díla s místem provádění </w:t>
      </w:r>
      <w:r w:rsidR="00503B2C">
        <w:rPr>
          <w:sz w:val="24"/>
          <w:szCs w:val="24"/>
          <w:lang w:val="cs-CZ" w:eastAsia="cs-CZ"/>
        </w:rPr>
        <w:t>díla</w:t>
      </w:r>
      <w:r w:rsidRPr="00AB4269">
        <w:rPr>
          <w:sz w:val="24"/>
          <w:szCs w:val="24"/>
          <w:lang w:val="cs-CZ" w:eastAsia="cs-CZ"/>
        </w:rPr>
        <w:t xml:space="preserve">, že jsou mu známy veškeré technické kvalitativní a jiné podmínky provádění díla a že disponuje takovými kapacitami a odbornými znalostmi, které jsou pro řádné provedení díla nezbytné. Potvrzuje, že prověřil podklady a příkazy které obdržel od objednatele do uzavření této smlouvy, že je shledal vhodnými, že sjednané podmínky pro provádění díla včetně ceny a doby provedení zohledňují všechny vpředu uvedené podmínky a okolnosti jakož i ty, které zhotovitel, jako subjekt odborně způsobilý k provedení díla měl nebo mohl předvídat přesto, že nebyly v době uzavření smlouvy zřejmé a přesto, že nebyly obsaženy v podkladech pro uzavření smlouvy nebo z nich nevyplývaly. Zhotovitel na základě vpředu uvedeného prohlašuje, že s použitím těchto všech znalostí zkušeností, podkladů a příkazů splní závazek založený touto smlouvou včas a řádně, za sjednanou cenu, aniž by podmiňoval splnění závazku poskytnutím </w:t>
      </w:r>
      <w:proofErr w:type="gramStart"/>
      <w:r w:rsidRPr="00AB4269">
        <w:rPr>
          <w:sz w:val="24"/>
          <w:szCs w:val="24"/>
          <w:lang w:val="cs-CZ" w:eastAsia="cs-CZ"/>
        </w:rPr>
        <w:t>jiné,</w:t>
      </w:r>
      <w:proofErr w:type="gramEnd"/>
      <w:r w:rsidRPr="00AB4269">
        <w:rPr>
          <w:sz w:val="24"/>
          <w:szCs w:val="24"/>
          <w:lang w:val="cs-CZ" w:eastAsia="cs-CZ"/>
        </w:rPr>
        <w:t xml:space="preserve"> než dohodnuté součinnosti. Jestliže se později v průběhu provádění díla bude zhotovitel dovolávat nevhodnosti příkazů nebo věcí předaných objednatelem bylo pro tento případ dohodnuto, že je povinen prokázat, </w:t>
      </w:r>
      <w:r w:rsidRPr="00AB4269">
        <w:rPr>
          <w:sz w:val="24"/>
          <w:szCs w:val="24"/>
          <w:lang w:val="cs-CZ" w:eastAsia="cs-CZ"/>
        </w:rPr>
        <w:lastRenderedPageBreak/>
        <w:t>že tuto nevhodnost nemohl zjistit do uzavření smlouvy, jinak odpovídá za vady díla způsobené nevhodností příkazů nebo věcí</w:t>
      </w:r>
      <w:r w:rsidRPr="00AB4269">
        <w:rPr>
          <w:sz w:val="24"/>
          <w:szCs w:val="24"/>
        </w:rPr>
        <w:t xml:space="preserve">. </w:t>
      </w:r>
    </w:p>
    <w:p w14:paraId="6FFFC81C" w14:textId="08089AB2" w:rsidR="00640E51" w:rsidRDefault="00640E51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280636">
        <w:rPr>
          <w:b/>
          <w:sz w:val="24"/>
          <w:szCs w:val="24"/>
        </w:rPr>
        <w:t>8</w:t>
      </w:r>
    </w:p>
    <w:p w14:paraId="42ACCFBC" w14:textId="77777777"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7AAA38FC" w14:textId="77777777" w:rsidR="00922C16" w:rsidRPr="002C347E" w:rsidRDefault="00922C16" w:rsidP="003F5ADC">
      <w:pPr>
        <w:numPr>
          <w:ilvl w:val="1"/>
          <w:numId w:val="39"/>
        </w:numPr>
        <w:spacing w:before="120" w:after="120"/>
        <w:jc w:val="both"/>
        <w:rPr>
          <w:sz w:val="24"/>
          <w:szCs w:val="24"/>
        </w:rPr>
      </w:pPr>
      <w:r w:rsidRPr="002C347E">
        <w:rPr>
          <w:sz w:val="24"/>
          <w:szCs w:val="24"/>
        </w:rPr>
        <w:t>Práva a povinnosti smluvních stran neupravené touto smlouvou se řídí příslušnými ustanoveními občanského zákoníku.</w:t>
      </w:r>
    </w:p>
    <w:p w14:paraId="6F5905A5" w14:textId="77777777" w:rsidR="00922C16" w:rsidRPr="002C347E" w:rsidRDefault="00922C16" w:rsidP="003F5ADC">
      <w:pPr>
        <w:numPr>
          <w:ilvl w:val="1"/>
          <w:numId w:val="39"/>
        </w:numPr>
        <w:spacing w:before="120" w:after="120"/>
        <w:jc w:val="both"/>
        <w:rPr>
          <w:sz w:val="24"/>
          <w:szCs w:val="24"/>
        </w:rPr>
      </w:pPr>
      <w:r w:rsidRPr="002C347E">
        <w:rPr>
          <w:sz w:val="24"/>
          <w:szCs w:val="24"/>
        </w:rPr>
        <w:t>Veškeré změny této smlouvy mohou být prováděny pouze písemnými a číslovanými dodatky ke smlouvě.</w:t>
      </w:r>
    </w:p>
    <w:p w14:paraId="6D6410F3" w14:textId="77777777" w:rsidR="00922C16" w:rsidRPr="002C347E" w:rsidRDefault="00922C16" w:rsidP="003F5ADC">
      <w:pPr>
        <w:numPr>
          <w:ilvl w:val="1"/>
          <w:numId w:val="39"/>
        </w:numPr>
        <w:spacing w:before="120" w:after="120"/>
        <w:jc w:val="both"/>
        <w:rPr>
          <w:sz w:val="24"/>
          <w:szCs w:val="24"/>
        </w:rPr>
      </w:pPr>
      <w:r w:rsidRPr="002C347E">
        <w:rPr>
          <w:sz w:val="24"/>
          <w:szCs w:val="24"/>
        </w:rPr>
        <w:t>Tato smlouva byla vyhotovena ve čtyřech stejnopisech, zhotovitel obdrží jeden a objednatel tři stejnopisy.</w:t>
      </w:r>
    </w:p>
    <w:p w14:paraId="32EB3A68" w14:textId="77777777" w:rsidR="00922C16" w:rsidRPr="002C347E" w:rsidRDefault="00922C16" w:rsidP="003F5ADC">
      <w:pPr>
        <w:numPr>
          <w:ilvl w:val="1"/>
          <w:numId w:val="39"/>
        </w:numPr>
        <w:spacing w:before="120" w:after="120"/>
        <w:jc w:val="both"/>
        <w:rPr>
          <w:sz w:val="24"/>
          <w:szCs w:val="24"/>
        </w:rPr>
      </w:pPr>
      <w:r w:rsidRPr="002C347E">
        <w:rPr>
          <w:sz w:val="24"/>
          <w:szCs w:val="24"/>
        </w:rPr>
        <w:t xml:space="preserve">Písemnosti mezi stranami této smlouvy, s jejichž obsahem je spojen vznik, změna nebo zánik práv a povinností upravených touto smlouvou se doručují prostřednictvím datové schránky nebo poštovní přepravou do vlastních rukou na adresy smluvních stran uvedené v úvodu této smlouvy. Povinnost smluvní strany doručit písemnost do vlastních rukou druhé smluvní straně je splněna při doručování prostřednictvím České pošty, </w:t>
      </w:r>
      <w:proofErr w:type="spellStart"/>
      <w:r w:rsidRPr="002C347E">
        <w:rPr>
          <w:sz w:val="24"/>
          <w:szCs w:val="24"/>
        </w:rPr>
        <w:t>s.p</w:t>
      </w:r>
      <w:proofErr w:type="spellEnd"/>
      <w:r w:rsidRPr="002C347E">
        <w:rPr>
          <w:sz w:val="24"/>
          <w:szCs w:val="24"/>
        </w:rPr>
        <w:t>. (dále jen pošta), jakmile pošta písemnost adresátovi doručí. Účinky doručení nastanou i tehdy, jestliže pošta písemnost zaslanou druhé smluvní straně na adresu uvedenou v úvodu této smlouvy vrátí odesílateli jako nedoručitelnou.</w:t>
      </w:r>
    </w:p>
    <w:p w14:paraId="052C72A3" w14:textId="77777777" w:rsidR="00196260" w:rsidRPr="002C347E" w:rsidRDefault="00196260" w:rsidP="003F5ADC">
      <w:pPr>
        <w:pStyle w:val="Style6"/>
        <w:numPr>
          <w:ilvl w:val="1"/>
          <w:numId w:val="3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C347E">
        <w:rPr>
          <w:rFonts w:ascii="Times New Roman" w:hAnsi="Times New Roman" w:cs="Times New Roman"/>
        </w:rPr>
        <w:t>Zhotovitel bere na vědomí, že smlouva bude uveřejněna v registru smluv zřízeného podle zákona č. 340/2015 Sb., o registru smluv, ve znění pozdějších předpisů. Zhotovitel prohlašuje, že tato smlouva neobsahuje údaje, které tvoří předmět jeho obchodního tajemství podle § 504 zákona č. 89/2012 Sb., občanský zákoník, ve znění pozdějších předpisů.</w:t>
      </w:r>
    </w:p>
    <w:p w14:paraId="15369C4D" w14:textId="4DC75E4F" w:rsidR="00922C16" w:rsidRPr="002C347E" w:rsidRDefault="00922C16" w:rsidP="003F5ADC">
      <w:pPr>
        <w:numPr>
          <w:ilvl w:val="1"/>
          <w:numId w:val="39"/>
        </w:numPr>
        <w:spacing w:before="120" w:after="120"/>
        <w:jc w:val="both"/>
        <w:rPr>
          <w:sz w:val="24"/>
          <w:szCs w:val="24"/>
        </w:rPr>
      </w:pPr>
      <w:r w:rsidRPr="002C347E">
        <w:rPr>
          <w:sz w:val="24"/>
          <w:szCs w:val="24"/>
        </w:rPr>
        <w:t>Tato smlouva nabývá platnosti dnem jejího podpisu oběma smluvními stranami a účinnosti dnem jejího zveřejnění v registru smluv.</w:t>
      </w:r>
    </w:p>
    <w:p w14:paraId="6B16FB94" w14:textId="77777777" w:rsidR="00922C16" w:rsidRPr="002C347E" w:rsidRDefault="00922C16" w:rsidP="003F5ADC">
      <w:pPr>
        <w:pStyle w:val="Nadpis2"/>
        <w:keepNext w:val="0"/>
        <w:numPr>
          <w:ilvl w:val="1"/>
          <w:numId w:val="39"/>
        </w:numPr>
        <w:spacing w:before="12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C347E">
        <w:rPr>
          <w:rFonts w:ascii="Times New Roman" w:hAnsi="Times New Roman" w:cs="Times New Roman"/>
          <w:b w:val="0"/>
          <w:i w:val="0"/>
          <w:sz w:val="24"/>
          <w:szCs w:val="24"/>
        </w:rPr>
        <w:t>Smluvní strany prohlašují, že tato smlouva byla sepsána na podkladě jejich pravé a svobodné vůle, nikoliv v tísni či za jinak nápadně nevýhodných podmínek, přičemž si obě strany tuto smlouvu před jejím podpisem pozorně přečetly a je jim srozumitelná ve všech ustanoveních a jejich důsledcích, na důkaz čehož opatřují smlouvu svými podpisy.</w:t>
      </w:r>
    </w:p>
    <w:p w14:paraId="6BBE5326" w14:textId="7F24E158" w:rsidR="008424AD" w:rsidRPr="002C347E" w:rsidRDefault="00922C16" w:rsidP="003F5ADC">
      <w:pPr>
        <w:numPr>
          <w:ilvl w:val="1"/>
          <w:numId w:val="39"/>
        </w:numPr>
        <w:spacing w:before="120" w:after="120"/>
        <w:jc w:val="both"/>
        <w:rPr>
          <w:sz w:val="24"/>
          <w:szCs w:val="24"/>
        </w:rPr>
      </w:pPr>
      <w:r w:rsidRPr="002C347E">
        <w:rPr>
          <w:sz w:val="24"/>
          <w:szCs w:val="24"/>
        </w:rPr>
        <w:t xml:space="preserve">Tato smlouva se uzavírá mezi objednatelem a zhotovitelem na základě usnesení Rady Středočeského kraje číslo </w:t>
      </w:r>
      <w:r w:rsidRPr="00E6416D">
        <w:rPr>
          <w:rFonts w:eastAsia="Calibri"/>
          <w:sz w:val="24"/>
          <w:szCs w:val="24"/>
        </w:rPr>
        <w:t>01</w:t>
      </w:r>
      <w:r w:rsidR="00E6416D">
        <w:rPr>
          <w:rFonts w:eastAsia="Calibri"/>
          <w:sz w:val="24"/>
          <w:szCs w:val="24"/>
        </w:rPr>
        <w:t>7</w:t>
      </w:r>
      <w:r w:rsidRPr="00E6416D">
        <w:rPr>
          <w:rFonts w:eastAsia="Calibri"/>
          <w:sz w:val="24"/>
          <w:szCs w:val="24"/>
        </w:rPr>
        <w:t>-</w:t>
      </w:r>
      <w:r w:rsidR="00E6416D">
        <w:rPr>
          <w:rFonts w:eastAsia="Calibri"/>
          <w:sz w:val="24"/>
          <w:szCs w:val="24"/>
        </w:rPr>
        <w:t>4</w:t>
      </w:r>
      <w:r w:rsidRPr="00E6416D">
        <w:rPr>
          <w:rFonts w:eastAsia="Calibri"/>
          <w:sz w:val="24"/>
          <w:szCs w:val="24"/>
        </w:rPr>
        <w:t>4/201</w:t>
      </w:r>
      <w:r w:rsidR="00E6416D">
        <w:rPr>
          <w:rFonts w:eastAsia="Calibri"/>
          <w:sz w:val="24"/>
          <w:szCs w:val="24"/>
        </w:rPr>
        <w:t>6</w:t>
      </w:r>
      <w:r w:rsidRPr="00E6416D">
        <w:rPr>
          <w:rFonts w:eastAsia="Calibri"/>
          <w:sz w:val="24"/>
          <w:szCs w:val="24"/>
        </w:rPr>
        <w:t>/RK</w:t>
      </w:r>
      <w:r w:rsidR="00E6416D">
        <w:rPr>
          <w:sz w:val="24"/>
          <w:szCs w:val="24"/>
        </w:rPr>
        <w:t xml:space="preserve"> ze dne 20</w:t>
      </w:r>
      <w:r w:rsidRPr="00E6416D">
        <w:rPr>
          <w:sz w:val="24"/>
          <w:szCs w:val="24"/>
        </w:rPr>
        <w:t>. </w:t>
      </w:r>
      <w:r w:rsidR="00E6416D">
        <w:rPr>
          <w:sz w:val="24"/>
          <w:szCs w:val="24"/>
        </w:rPr>
        <w:t>12. 2016</w:t>
      </w:r>
      <w:r w:rsidRPr="002C347E">
        <w:rPr>
          <w:sz w:val="24"/>
          <w:szCs w:val="24"/>
        </w:rPr>
        <w:t>.</w:t>
      </w:r>
    </w:p>
    <w:p w14:paraId="636E7442" w14:textId="05DECE86" w:rsidR="00DE4553" w:rsidRPr="002C347E" w:rsidRDefault="00DE4553" w:rsidP="008424AD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424AD" w:rsidRPr="00D469E7" w14:paraId="3E5CFB20" w14:textId="77777777" w:rsidTr="00AB4269">
        <w:trPr>
          <w:trHeight w:val="420"/>
        </w:trPr>
        <w:tc>
          <w:tcPr>
            <w:tcW w:w="4606" w:type="dxa"/>
            <w:hideMark/>
          </w:tcPr>
          <w:p w14:paraId="39E4A1D4" w14:textId="3A381B3F" w:rsidR="008424AD" w:rsidRDefault="00280636" w:rsidP="00AB4269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 Praze</w:t>
            </w:r>
            <w:r w:rsidR="008424AD">
              <w:rPr>
                <w:sz w:val="24"/>
                <w:szCs w:val="24"/>
                <w:lang w:eastAsia="en-US"/>
              </w:rPr>
              <w:t xml:space="preserve"> dne ...........................</w:t>
            </w:r>
          </w:p>
          <w:p w14:paraId="13211198" w14:textId="77777777" w:rsidR="009626E1" w:rsidRDefault="009626E1" w:rsidP="00AB4269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55DE7EF" w14:textId="77777777" w:rsidR="008424AD" w:rsidRDefault="008424AD" w:rsidP="00AB4269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.............................................</w:t>
            </w:r>
          </w:p>
          <w:p w14:paraId="2E97C492" w14:textId="77777777" w:rsidR="008424AD" w:rsidRDefault="008424AD" w:rsidP="00B215E7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 objednatele</w:t>
            </w:r>
          </w:p>
          <w:p w14:paraId="0F5CDB8D" w14:textId="77777777" w:rsidR="00B215E7" w:rsidRDefault="00B215E7" w:rsidP="00B215E7">
            <w:pPr>
              <w:spacing w:before="120"/>
              <w:ind w:left="1206"/>
              <w:rPr>
                <w:sz w:val="24"/>
                <w:szCs w:val="24"/>
                <w:lang w:eastAsia="en-US"/>
              </w:rPr>
            </w:pPr>
            <w:r w:rsidRPr="00B215E7">
              <w:rPr>
                <w:sz w:val="24"/>
                <w:szCs w:val="24"/>
                <w:lang w:eastAsia="en-US"/>
              </w:rPr>
              <w:t xml:space="preserve">Ing. Miloš Petera, </w:t>
            </w:r>
          </w:p>
          <w:p w14:paraId="785F60C6" w14:textId="77777777" w:rsidR="00B215E7" w:rsidRDefault="00B215E7" w:rsidP="00B215E7">
            <w:pPr>
              <w:spacing w:before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B215E7">
              <w:rPr>
                <w:sz w:val="24"/>
                <w:szCs w:val="24"/>
                <w:lang w:eastAsia="en-US"/>
              </w:rPr>
              <w:t xml:space="preserve"> náměstek hejtmanky pro oblast </w:t>
            </w:r>
          </w:p>
          <w:p w14:paraId="45D9AE22" w14:textId="011D4238" w:rsidR="008424AD" w:rsidRDefault="00B215E7" w:rsidP="00542C4A">
            <w:pPr>
              <w:spacing w:before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B215E7">
              <w:rPr>
                <w:sz w:val="24"/>
                <w:szCs w:val="24"/>
                <w:lang w:eastAsia="en-US"/>
              </w:rPr>
              <w:t xml:space="preserve">životního prostředí a zemědělství  </w:t>
            </w:r>
          </w:p>
        </w:tc>
        <w:tc>
          <w:tcPr>
            <w:tcW w:w="4606" w:type="dxa"/>
            <w:hideMark/>
          </w:tcPr>
          <w:p w14:paraId="4AFA3334" w14:textId="77777777" w:rsidR="008424AD" w:rsidRDefault="008424AD" w:rsidP="00AB4269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 </w:t>
            </w:r>
            <w:r w:rsidR="00BC0929">
              <w:rPr>
                <w:sz w:val="24"/>
                <w:szCs w:val="24"/>
                <w:lang w:eastAsia="en-US"/>
              </w:rPr>
              <w:t>Praze</w:t>
            </w:r>
            <w:r>
              <w:rPr>
                <w:sz w:val="24"/>
                <w:szCs w:val="24"/>
                <w:lang w:eastAsia="en-US"/>
              </w:rPr>
              <w:t xml:space="preserve"> dne </w:t>
            </w:r>
          </w:p>
          <w:p w14:paraId="7B8B3E75" w14:textId="77777777" w:rsidR="009626E1" w:rsidRDefault="009626E1" w:rsidP="00AB4269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17D919D" w14:textId="77777777" w:rsidR="008424AD" w:rsidRDefault="008424AD" w:rsidP="00AB4269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.............................................</w:t>
            </w:r>
          </w:p>
          <w:p w14:paraId="59481BBD" w14:textId="6860BE85" w:rsidR="008424AD" w:rsidRDefault="008424AD" w:rsidP="00AB4269">
            <w:pPr>
              <w:spacing w:before="120" w:after="120" w:line="276" w:lineRule="auto"/>
              <w:ind w:left="12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80636">
              <w:rPr>
                <w:sz w:val="24"/>
                <w:szCs w:val="24"/>
                <w:lang w:eastAsia="en-US"/>
              </w:rPr>
              <w:t>za zhotovitele</w:t>
            </w:r>
          </w:p>
        </w:tc>
      </w:tr>
    </w:tbl>
    <w:p w14:paraId="101ACFD2" w14:textId="77777777" w:rsidR="008424AD" w:rsidRDefault="008424AD" w:rsidP="008424AD"/>
    <w:sectPr w:rsidR="008424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8B65" w14:textId="77777777" w:rsidR="001B0E93" w:rsidRDefault="001B0E93" w:rsidP="009858E7">
      <w:r>
        <w:separator/>
      </w:r>
    </w:p>
  </w:endnote>
  <w:endnote w:type="continuationSeparator" w:id="0">
    <w:p w14:paraId="6ED7ED66" w14:textId="77777777" w:rsidR="001B0E93" w:rsidRDefault="001B0E93" w:rsidP="0098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466298"/>
      <w:docPartObj>
        <w:docPartGallery w:val="Page Numbers (Bottom of Page)"/>
        <w:docPartUnique/>
      </w:docPartObj>
    </w:sdtPr>
    <w:sdtEndPr/>
    <w:sdtContent>
      <w:p w14:paraId="2CCC0EF9" w14:textId="77777777" w:rsidR="00AB4269" w:rsidRDefault="00AB42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E1">
          <w:rPr>
            <w:noProof/>
          </w:rPr>
          <w:t>2</w:t>
        </w:r>
        <w:r>
          <w:fldChar w:fldCharType="end"/>
        </w:r>
      </w:p>
    </w:sdtContent>
  </w:sdt>
  <w:p w14:paraId="2B672A92" w14:textId="77777777" w:rsidR="00AB4269" w:rsidRDefault="00AB42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AD666" w14:textId="77777777" w:rsidR="001B0E93" w:rsidRDefault="001B0E93" w:rsidP="009858E7">
      <w:r>
        <w:separator/>
      </w:r>
    </w:p>
  </w:footnote>
  <w:footnote w:type="continuationSeparator" w:id="0">
    <w:p w14:paraId="7FB180CA" w14:textId="77777777" w:rsidR="001B0E93" w:rsidRDefault="001B0E93" w:rsidP="0098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CBD"/>
    <w:multiLevelType w:val="multilevel"/>
    <w:tmpl w:val="027EDF72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10"/>
      <w:numFmt w:val="decimal"/>
      <w:lvlText w:val="14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9301CE0"/>
    <w:multiLevelType w:val="hybridMultilevel"/>
    <w:tmpl w:val="848678AE"/>
    <w:lvl w:ilvl="0" w:tplc="BA48EFDC">
      <w:start w:val="1"/>
      <w:numFmt w:val="decimal"/>
      <w:lvlText w:val="12.%1."/>
      <w:lvlJc w:val="left"/>
      <w:pPr>
        <w:ind w:left="1426" w:hanging="360"/>
      </w:pPr>
      <w:rPr>
        <w:rFonts w:hint="default"/>
      </w:rPr>
    </w:lvl>
    <w:lvl w:ilvl="1" w:tplc="FA86970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20D7"/>
    <w:multiLevelType w:val="multilevel"/>
    <w:tmpl w:val="01CC6E96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110381C"/>
    <w:multiLevelType w:val="multilevel"/>
    <w:tmpl w:val="78AE2FE0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95438C"/>
    <w:multiLevelType w:val="multilevel"/>
    <w:tmpl w:val="B5FE85A8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0"/>
      <w:numFmt w:val="decimal"/>
      <w:lvlText w:val="13.%2."/>
      <w:lvlJc w:val="left"/>
      <w:pPr>
        <w:tabs>
          <w:tab w:val="num" w:pos="675"/>
        </w:tabs>
        <w:ind w:left="675" w:hanging="67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E45221"/>
    <w:multiLevelType w:val="hybridMultilevel"/>
    <w:tmpl w:val="588672C6"/>
    <w:lvl w:ilvl="0" w:tplc="D6E0020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6AA"/>
    <w:multiLevelType w:val="multilevel"/>
    <w:tmpl w:val="449EF36E"/>
    <w:styleLink w:val="Styl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218E00FF"/>
    <w:multiLevelType w:val="multilevel"/>
    <w:tmpl w:val="B536754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344339E"/>
    <w:multiLevelType w:val="hybridMultilevel"/>
    <w:tmpl w:val="6B8C4850"/>
    <w:lvl w:ilvl="0" w:tplc="55344062">
      <w:start w:val="1"/>
      <w:numFmt w:val="decimal"/>
      <w:lvlText w:val="11.%1."/>
      <w:lvlJc w:val="left"/>
      <w:pPr>
        <w:ind w:left="1426" w:hanging="360"/>
      </w:pPr>
      <w:rPr>
        <w:rFonts w:hint="default"/>
      </w:rPr>
    </w:lvl>
    <w:lvl w:ilvl="1" w:tplc="FA86970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7AD8"/>
    <w:multiLevelType w:val="multilevel"/>
    <w:tmpl w:val="449EF36E"/>
    <w:numStyleLink w:val="Styl1"/>
  </w:abstractNum>
  <w:abstractNum w:abstractNumId="10" w15:restartNumberingAfterBreak="0">
    <w:nsid w:val="2742513B"/>
    <w:multiLevelType w:val="multilevel"/>
    <w:tmpl w:val="C552631C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4928CE"/>
    <w:multiLevelType w:val="hybridMultilevel"/>
    <w:tmpl w:val="542ED3B4"/>
    <w:lvl w:ilvl="0" w:tplc="BA143DE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4DB75C4"/>
    <w:multiLevelType w:val="multilevel"/>
    <w:tmpl w:val="BE80D6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36034B48"/>
    <w:multiLevelType w:val="hybridMultilevel"/>
    <w:tmpl w:val="92EE61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AB62EB"/>
    <w:multiLevelType w:val="multilevel"/>
    <w:tmpl w:val="2868699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675"/>
        </w:tabs>
        <w:ind w:left="675" w:hanging="675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CE2FC9"/>
    <w:multiLevelType w:val="hybridMultilevel"/>
    <w:tmpl w:val="D5DA84A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8856262"/>
    <w:multiLevelType w:val="multilevel"/>
    <w:tmpl w:val="B3E4E9D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."/>
      <w:lvlJc w:val="left"/>
      <w:pPr>
        <w:ind w:left="177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4DAF092B"/>
    <w:multiLevelType w:val="hybridMultilevel"/>
    <w:tmpl w:val="EEA4CB7A"/>
    <w:lvl w:ilvl="0" w:tplc="55344062">
      <w:start w:val="1"/>
      <w:numFmt w:val="decimal"/>
      <w:lvlText w:val="11.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50D412D1"/>
    <w:multiLevelType w:val="hybridMultilevel"/>
    <w:tmpl w:val="FD52FD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49254E"/>
    <w:multiLevelType w:val="hybridMultilevel"/>
    <w:tmpl w:val="D2162C6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5E040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8130920"/>
    <w:multiLevelType w:val="hybridMultilevel"/>
    <w:tmpl w:val="CECA92A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8410A07"/>
    <w:multiLevelType w:val="multilevel"/>
    <w:tmpl w:val="871EF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5A1B05E2"/>
    <w:multiLevelType w:val="multilevel"/>
    <w:tmpl w:val="AA9A5C4C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675"/>
        </w:tabs>
        <w:ind w:left="675" w:hanging="67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DB5694"/>
    <w:multiLevelType w:val="multilevel"/>
    <w:tmpl w:val="79C6367C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6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75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395"/>
        </w:tabs>
        <w:ind w:left="1395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75"/>
        </w:tabs>
        <w:ind w:left="2475" w:hanging="1800"/>
      </w:pPr>
      <w:rPr>
        <w:rFonts w:hint="default"/>
      </w:rPr>
    </w:lvl>
  </w:abstractNum>
  <w:abstractNum w:abstractNumId="25" w15:restartNumberingAfterBreak="0">
    <w:nsid w:val="602819E9"/>
    <w:multiLevelType w:val="hybridMultilevel"/>
    <w:tmpl w:val="55DC7560"/>
    <w:lvl w:ilvl="0" w:tplc="BA143DE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53E80"/>
    <w:multiLevelType w:val="multilevel"/>
    <w:tmpl w:val="C6A068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676444E7"/>
    <w:multiLevelType w:val="hybridMultilevel"/>
    <w:tmpl w:val="46082BDA"/>
    <w:lvl w:ilvl="0" w:tplc="A392928A">
      <w:start w:val="1"/>
      <w:numFmt w:val="decimal"/>
      <w:lvlText w:val="8.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69E257AB"/>
    <w:multiLevelType w:val="multilevel"/>
    <w:tmpl w:val="227C41E2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675"/>
        </w:tabs>
        <w:ind w:left="675" w:hanging="67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EF6817"/>
    <w:multiLevelType w:val="multilevel"/>
    <w:tmpl w:val="DF74167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71FD3556"/>
    <w:multiLevelType w:val="multilevel"/>
    <w:tmpl w:val="E4CC125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0B7072"/>
    <w:multiLevelType w:val="hybridMultilevel"/>
    <w:tmpl w:val="E716CF24"/>
    <w:lvl w:ilvl="0" w:tplc="04050017">
      <w:start w:val="1"/>
      <w:numFmt w:val="lowerLetter"/>
      <w:lvlText w:val="%1)"/>
      <w:lvlJc w:val="left"/>
      <w:pPr>
        <w:ind w:left="1408" w:hanging="360"/>
      </w:pPr>
    </w:lvl>
    <w:lvl w:ilvl="1" w:tplc="3EF6C654">
      <w:start w:val="1"/>
      <w:numFmt w:val="lowerLetter"/>
      <w:lvlText w:val="%2."/>
      <w:lvlJc w:val="left"/>
      <w:pPr>
        <w:ind w:left="2128" w:hanging="360"/>
      </w:pPr>
      <w:rPr>
        <w:strike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17040C"/>
    <w:multiLevelType w:val="hybridMultilevel"/>
    <w:tmpl w:val="F7900E64"/>
    <w:lvl w:ilvl="0" w:tplc="8B2A2CA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B5752"/>
    <w:multiLevelType w:val="multilevel"/>
    <w:tmpl w:val="D794FC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5" w15:restartNumberingAfterBreak="0">
    <w:nsid w:val="7F7C1C2B"/>
    <w:multiLevelType w:val="multilevel"/>
    <w:tmpl w:val="952A1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22"/>
  </w:num>
  <w:num w:numId="11">
    <w:abstractNumId w:val="16"/>
  </w:num>
  <w:num w:numId="12">
    <w:abstractNumId w:val="9"/>
    <w:lvlOverride w:ilvl="1">
      <w:lvl w:ilvl="1">
        <w:start w:val="1"/>
        <w:numFmt w:val="decimal"/>
        <w:lvlText w:val="%1.%2."/>
        <w:lvlJc w:val="left"/>
        <w:pPr>
          <w:tabs>
            <w:tab w:val="num" w:pos="705"/>
          </w:tabs>
          <w:ind w:left="705" w:hanging="705"/>
        </w:pPr>
        <w:rPr>
          <w:b w:val="0"/>
          <w:sz w:val="22"/>
        </w:rPr>
      </w:lvl>
    </w:lvlOverride>
  </w:num>
  <w:num w:numId="13">
    <w:abstractNumId w:val="6"/>
  </w:num>
  <w:num w:numId="14">
    <w:abstractNumId w:val="11"/>
  </w:num>
  <w:num w:numId="15">
    <w:abstractNumId w:val="13"/>
  </w:num>
  <w:num w:numId="16">
    <w:abstractNumId w:val="19"/>
  </w:num>
  <w:num w:numId="1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9"/>
  </w:num>
  <w:num w:numId="24">
    <w:abstractNumId w:val="32"/>
  </w:num>
  <w:num w:numId="25">
    <w:abstractNumId w:val="33"/>
  </w:num>
  <w:num w:numId="26">
    <w:abstractNumId w:val="27"/>
  </w:num>
  <w:num w:numId="27">
    <w:abstractNumId w:val="3"/>
  </w:num>
  <w:num w:numId="28">
    <w:abstractNumId w:val="8"/>
  </w:num>
  <w:num w:numId="29">
    <w:abstractNumId w:val="10"/>
  </w:num>
  <w:num w:numId="30">
    <w:abstractNumId w:val="25"/>
  </w:num>
  <w:num w:numId="31">
    <w:abstractNumId w:val="31"/>
  </w:num>
  <w:num w:numId="32">
    <w:abstractNumId w:val="23"/>
  </w:num>
  <w:num w:numId="33">
    <w:abstractNumId w:val="5"/>
  </w:num>
  <w:num w:numId="34">
    <w:abstractNumId w:val="4"/>
  </w:num>
  <w:num w:numId="35">
    <w:abstractNumId w:val="15"/>
  </w:num>
  <w:num w:numId="36">
    <w:abstractNumId w:val="17"/>
  </w:num>
  <w:num w:numId="37">
    <w:abstractNumId w:val="1"/>
  </w:num>
  <w:num w:numId="38">
    <w:abstractNumId w:val="28"/>
  </w:num>
  <w:num w:numId="39">
    <w:abstractNumId w:val="2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4AD"/>
    <w:rsid w:val="0000108E"/>
    <w:rsid w:val="0004718F"/>
    <w:rsid w:val="00047D1B"/>
    <w:rsid w:val="00081A1A"/>
    <w:rsid w:val="00082B9F"/>
    <w:rsid w:val="00087A6F"/>
    <w:rsid w:val="000A4A7C"/>
    <w:rsid w:val="000B64AF"/>
    <w:rsid w:val="00110FBC"/>
    <w:rsid w:val="00125958"/>
    <w:rsid w:val="001322D5"/>
    <w:rsid w:val="00134961"/>
    <w:rsid w:val="0014103F"/>
    <w:rsid w:val="00142B7C"/>
    <w:rsid w:val="00182C49"/>
    <w:rsid w:val="00196260"/>
    <w:rsid w:val="001A3405"/>
    <w:rsid w:val="001A41F2"/>
    <w:rsid w:val="001B0E93"/>
    <w:rsid w:val="001E6D4C"/>
    <w:rsid w:val="001E6DC0"/>
    <w:rsid w:val="001F107D"/>
    <w:rsid w:val="00202DD4"/>
    <w:rsid w:val="00223DCF"/>
    <w:rsid w:val="0022786A"/>
    <w:rsid w:val="00252332"/>
    <w:rsid w:val="0027544A"/>
    <w:rsid w:val="00280636"/>
    <w:rsid w:val="002B0D91"/>
    <w:rsid w:val="002C347E"/>
    <w:rsid w:val="002C5110"/>
    <w:rsid w:val="002E4D8F"/>
    <w:rsid w:val="0031459F"/>
    <w:rsid w:val="0031674E"/>
    <w:rsid w:val="003201DE"/>
    <w:rsid w:val="00331702"/>
    <w:rsid w:val="003363EF"/>
    <w:rsid w:val="00341D3D"/>
    <w:rsid w:val="003460B8"/>
    <w:rsid w:val="00381266"/>
    <w:rsid w:val="00394BC6"/>
    <w:rsid w:val="003C5A90"/>
    <w:rsid w:val="003F5ADC"/>
    <w:rsid w:val="003F7F26"/>
    <w:rsid w:val="00410F79"/>
    <w:rsid w:val="004659D6"/>
    <w:rsid w:val="00482DCC"/>
    <w:rsid w:val="00487DDB"/>
    <w:rsid w:val="00491C91"/>
    <w:rsid w:val="00497184"/>
    <w:rsid w:val="004A0D0C"/>
    <w:rsid w:val="004C3EB0"/>
    <w:rsid w:val="004C6813"/>
    <w:rsid w:val="004D1BD3"/>
    <w:rsid w:val="00503B2C"/>
    <w:rsid w:val="005064C7"/>
    <w:rsid w:val="00542C4A"/>
    <w:rsid w:val="00573A98"/>
    <w:rsid w:val="00584EF6"/>
    <w:rsid w:val="0058550A"/>
    <w:rsid w:val="0059785A"/>
    <w:rsid w:val="005A2240"/>
    <w:rsid w:val="005A401F"/>
    <w:rsid w:val="005C5680"/>
    <w:rsid w:val="0060233C"/>
    <w:rsid w:val="006133C3"/>
    <w:rsid w:val="00640E51"/>
    <w:rsid w:val="00651EED"/>
    <w:rsid w:val="0066180E"/>
    <w:rsid w:val="006B5C1B"/>
    <w:rsid w:val="006F01EC"/>
    <w:rsid w:val="006F611E"/>
    <w:rsid w:val="0070356C"/>
    <w:rsid w:val="007157FB"/>
    <w:rsid w:val="007477D5"/>
    <w:rsid w:val="00761E47"/>
    <w:rsid w:val="00777CBB"/>
    <w:rsid w:val="007A3081"/>
    <w:rsid w:val="007E5755"/>
    <w:rsid w:val="008007E1"/>
    <w:rsid w:val="0082706D"/>
    <w:rsid w:val="008424AD"/>
    <w:rsid w:val="00846CB2"/>
    <w:rsid w:val="00846D8B"/>
    <w:rsid w:val="008509BD"/>
    <w:rsid w:val="00852199"/>
    <w:rsid w:val="008B0997"/>
    <w:rsid w:val="008F07B8"/>
    <w:rsid w:val="00900792"/>
    <w:rsid w:val="00905170"/>
    <w:rsid w:val="00922C16"/>
    <w:rsid w:val="00934325"/>
    <w:rsid w:val="009424D3"/>
    <w:rsid w:val="00955B36"/>
    <w:rsid w:val="009626E1"/>
    <w:rsid w:val="00967A26"/>
    <w:rsid w:val="009821E4"/>
    <w:rsid w:val="009858E7"/>
    <w:rsid w:val="00997308"/>
    <w:rsid w:val="009A5206"/>
    <w:rsid w:val="009A60CD"/>
    <w:rsid w:val="009A6CFB"/>
    <w:rsid w:val="009B6611"/>
    <w:rsid w:val="009C13F7"/>
    <w:rsid w:val="00A11FC4"/>
    <w:rsid w:val="00A2424E"/>
    <w:rsid w:val="00A41497"/>
    <w:rsid w:val="00A44E8D"/>
    <w:rsid w:val="00A55A1B"/>
    <w:rsid w:val="00A56F36"/>
    <w:rsid w:val="00A67BCA"/>
    <w:rsid w:val="00A772B2"/>
    <w:rsid w:val="00A84836"/>
    <w:rsid w:val="00AB4269"/>
    <w:rsid w:val="00AC2EE7"/>
    <w:rsid w:val="00AD37D9"/>
    <w:rsid w:val="00AD6A04"/>
    <w:rsid w:val="00B0701B"/>
    <w:rsid w:val="00B17F70"/>
    <w:rsid w:val="00B215E7"/>
    <w:rsid w:val="00B24779"/>
    <w:rsid w:val="00B34D4F"/>
    <w:rsid w:val="00B5233D"/>
    <w:rsid w:val="00B54AA1"/>
    <w:rsid w:val="00B55A4E"/>
    <w:rsid w:val="00B64546"/>
    <w:rsid w:val="00B66548"/>
    <w:rsid w:val="00B7131D"/>
    <w:rsid w:val="00BC0929"/>
    <w:rsid w:val="00BC0F73"/>
    <w:rsid w:val="00BE1497"/>
    <w:rsid w:val="00BF06BF"/>
    <w:rsid w:val="00C028AC"/>
    <w:rsid w:val="00C02D0B"/>
    <w:rsid w:val="00C33252"/>
    <w:rsid w:val="00C535A4"/>
    <w:rsid w:val="00C53840"/>
    <w:rsid w:val="00C543A5"/>
    <w:rsid w:val="00C74240"/>
    <w:rsid w:val="00C92881"/>
    <w:rsid w:val="00CA4B45"/>
    <w:rsid w:val="00CC073B"/>
    <w:rsid w:val="00D02578"/>
    <w:rsid w:val="00D07224"/>
    <w:rsid w:val="00D125E3"/>
    <w:rsid w:val="00D2003A"/>
    <w:rsid w:val="00D34723"/>
    <w:rsid w:val="00D55721"/>
    <w:rsid w:val="00D77648"/>
    <w:rsid w:val="00D87635"/>
    <w:rsid w:val="00D915B1"/>
    <w:rsid w:val="00DA2B4F"/>
    <w:rsid w:val="00DC15F4"/>
    <w:rsid w:val="00DC7E89"/>
    <w:rsid w:val="00DE4553"/>
    <w:rsid w:val="00DF58DB"/>
    <w:rsid w:val="00E00D8C"/>
    <w:rsid w:val="00E12409"/>
    <w:rsid w:val="00E15010"/>
    <w:rsid w:val="00E20808"/>
    <w:rsid w:val="00E43CB6"/>
    <w:rsid w:val="00E6416D"/>
    <w:rsid w:val="00E66CF9"/>
    <w:rsid w:val="00E770B9"/>
    <w:rsid w:val="00E86DAE"/>
    <w:rsid w:val="00E96E00"/>
    <w:rsid w:val="00ED4F8A"/>
    <w:rsid w:val="00ED5F3E"/>
    <w:rsid w:val="00EE7FB5"/>
    <w:rsid w:val="00EF4C73"/>
    <w:rsid w:val="00F005A0"/>
    <w:rsid w:val="00F05EC0"/>
    <w:rsid w:val="00F11842"/>
    <w:rsid w:val="00F122E8"/>
    <w:rsid w:val="00F1473F"/>
    <w:rsid w:val="00F1615F"/>
    <w:rsid w:val="00F2010D"/>
    <w:rsid w:val="00F411B0"/>
    <w:rsid w:val="00F42928"/>
    <w:rsid w:val="00F45FDC"/>
    <w:rsid w:val="00FA5D0E"/>
    <w:rsid w:val="00FB4887"/>
    <w:rsid w:val="00FB48AB"/>
    <w:rsid w:val="00FB6DDF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CA67BC"/>
  <w15:docId w15:val="{DB62ABB5-AA6A-4E1B-B115-2361D5CC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2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qFormat/>
    <w:rsid w:val="00B66548"/>
    <w:pPr>
      <w:keepNext/>
      <w:spacing w:after="60"/>
      <w:ind w:firstLine="284"/>
      <w:jc w:val="both"/>
    </w:pPr>
    <w:rPr>
      <w:sz w:val="24"/>
      <w:szCs w:val="24"/>
    </w:rPr>
  </w:style>
  <w:style w:type="character" w:customStyle="1" w:styleId="TextdokumentuChar">
    <w:name w:val="Text dokumentu Char"/>
    <w:basedOn w:val="Standardnpsmoodstavce"/>
    <w:link w:val="Textdokumentu"/>
    <w:rsid w:val="00B66548"/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424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8424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7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7D9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8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nhideWhenUsed/>
    <w:rsid w:val="005A2240"/>
    <w:pPr>
      <w:spacing w:after="120"/>
      <w:ind w:left="283"/>
    </w:pPr>
    <w:rPr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A224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kladntextodsazen3">
    <w:name w:val="Body Text Indent 3"/>
    <w:basedOn w:val="Normln"/>
    <w:link w:val="Zkladntextodsazen3Char"/>
    <w:unhideWhenUsed/>
    <w:rsid w:val="005A2240"/>
    <w:pPr>
      <w:snapToGrid w:val="0"/>
      <w:spacing w:after="120"/>
      <w:ind w:left="283"/>
    </w:pPr>
    <w:rPr>
      <w:sz w:val="16"/>
      <w:szCs w:val="16"/>
      <w:lang w:val="fr-FR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5A2240"/>
    <w:rPr>
      <w:rFonts w:ascii="Times New Roman" w:eastAsia="Times New Roman" w:hAnsi="Times New Roman" w:cs="Times New Roman"/>
      <w:sz w:val="16"/>
      <w:szCs w:val="16"/>
      <w:lang w:val="fr-FR"/>
    </w:rPr>
  </w:style>
  <w:style w:type="numbering" w:customStyle="1" w:styleId="Styl1">
    <w:name w:val="Styl1"/>
    <w:uiPriority w:val="99"/>
    <w:rsid w:val="005A2240"/>
    <w:pPr>
      <w:numPr>
        <w:numId w:val="13"/>
      </w:numPr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640E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0E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B24779"/>
    <w:pPr>
      <w:widowControl w:val="0"/>
      <w:snapToGrid w:val="0"/>
      <w:jc w:val="both"/>
    </w:pPr>
    <w:rPr>
      <w:sz w:val="22"/>
    </w:rPr>
  </w:style>
  <w:style w:type="paragraph" w:customStyle="1" w:styleId="Style6">
    <w:name w:val="Style6"/>
    <w:basedOn w:val="Normln"/>
    <w:uiPriority w:val="99"/>
    <w:rsid w:val="00196260"/>
    <w:pPr>
      <w:autoSpaceDE w:val="0"/>
      <w:autoSpaceDN w:val="0"/>
      <w:spacing w:line="256" w:lineRule="exact"/>
    </w:pPr>
    <w:rPr>
      <w:rFonts w:ascii="Arial" w:eastAsia="Calibri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46D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6D8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6D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6D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6D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2174</Words>
  <Characters>12831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Kopecká Veronika</cp:lastModifiedBy>
  <cp:revision>8</cp:revision>
  <cp:lastPrinted>2018-05-14T05:21:00Z</cp:lastPrinted>
  <dcterms:created xsi:type="dcterms:W3CDTF">2018-10-09T08:50:00Z</dcterms:created>
  <dcterms:modified xsi:type="dcterms:W3CDTF">2019-03-14T09:51:00Z</dcterms:modified>
</cp:coreProperties>
</file>