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2E840459"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875227">
        <w:rPr>
          <w:rFonts w:ascii="Arial" w:hAnsi="Arial" w:cs="Arial"/>
          <w:bCs/>
          <w:sz w:val="24"/>
          <w:szCs w:val="24"/>
        </w:rPr>
        <w:t>6</w:t>
      </w:r>
      <w:bookmarkStart w:id="0" w:name="_GoBack"/>
      <w:bookmarkEnd w:id="0"/>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5BC9E7BE"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05207B">
        <w:rPr>
          <w:rFonts w:ascii="Arial" w:hAnsi="Arial" w:cs="Arial"/>
          <w:b/>
          <w:bCs/>
          <w:sz w:val="20"/>
          <w:szCs w:val="20"/>
        </w:rPr>
        <w:t>Dodávka laserové stanice</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15C17536"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r w:rsidR="0005207B">
        <w:rPr>
          <w:b/>
          <w:bCs/>
        </w:rPr>
        <w:t>Dodávka laserové stanice</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3A4E0EAB"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05207B">
        <w:rPr>
          <w:b/>
          <w:bCs/>
        </w:rPr>
        <w:t>Dodávka laserové stanice</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0AABA2F4" w:rsidR="004A728B" w:rsidRDefault="004A728B" w:rsidP="004A728B"/>
    <w:p w14:paraId="75972408" w14:textId="77777777" w:rsidR="0005207B" w:rsidRDefault="0005207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lastRenderedPageBreak/>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05207B">
      <w:pPr>
        <w:pStyle w:val="Nadpis2"/>
        <w:numPr>
          <w:ilvl w:val="0"/>
          <w:numId w:val="0"/>
        </w:numPr>
        <w:ind w:left="578" w:hanging="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69B10849" w:rsidR="002174A8" w:rsidRDefault="002174A8" w:rsidP="00E3700D">
      <w:pPr>
        <w:pStyle w:val="Nadpis2"/>
        <w:rPr>
          <w:rStyle w:val="dn"/>
        </w:rPr>
      </w:pPr>
      <w:r w:rsidRPr="00F249A1">
        <w:rPr>
          <w:rStyle w:val="dn"/>
        </w:rPr>
        <w:t xml:space="preserve">Zboží bude dodáno v termínu: do </w:t>
      </w:r>
      <w:r w:rsidR="0005207B">
        <w:rPr>
          <w:rStyle w:val="dn"/>
        </w:rPr>
        <w:t>6 měsíců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270EB379" w:rsidR="004A728B" w:rsidRPr="004A728B" w:rsidRDefault="0005207B" w:rsidP="00951A4B">
            <w:pPr>
              <w:rPr>
                <w:rFonts w:ascii="Arial" w:hAnsi="Arial" w:cs="Arial"/>
                <w:b/>
                <w:sz w:val="20"/>
                <w:szCs w:val="20"/>
              </w:rPr>
            </w:pPr>
            <w:r>
              <w:rPr>
                <w:rFonts w:ascii="Arial" w:hAnsi="Arial" w:cs="Arial"/>
                <w:b/>
                <w:sz w:val="20"/>
                <w:szCs w:val="20"/>
              </w:rPr>
              <w:t>Laserová stanice – zdroj</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47FA9B6B" w:rsidR="00D904E4" w:rsidRPr="003C3D23" w:rsidRDefault="0005207B" w:rsidP="00951A4B">
            <w:pPr>
              <w:rPr>
                <w:rFonts w:ascii="Arial" w:hAnsi="Arial" w:cs="Arial"/>
                <w:b/>
                <w:sz w:val="20"/>
                <w:szCs w:val="20"/>
              </w:rPr>
            </w:pPr>
            <w:r>
              <w:rPr>
                <w:rFonts w:ascii="Arial" w:hAnsi="Arial" w:cs="Arial"/>
                <w:b/>
                <w:sz w:val="20"/>
                <w:szCs w:val="20"/>
              </w:rPr>
              <w:t>Obslužný notebook</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r w:rsidR="0005207B" w:rsidRPr="00F249A1" w14:paraId="5BDB859D" w14:textId="77777777" w:rsidTr="00951A4B">
        <w:trPr>
          <w:trHeight w:val="340"/>
        </w:trPr>
        <w:tc>
          <w:tcPr>
            <w:tcW w:w="7792" w:type="dxa"/>
            <w:vAlign w:val="center"/>
          </w:tcPr>
          <w:p w14:paraId="541FAC91" w14:textId="1034530F" w:rsidR="0005207B" w:rsidRDefault="0005207B" w:rsidP="00951A4B">
            <w:pPr>
              <w:rPr>
                <w:rFonts w:ascii="Arial" w:hAnsi="Arial" w:cs="Arial"/>
                <w:b/>
                <w:sz w:val="20"/>
                <w:szCs w:val="20"/>
              </w:rPr>
            </w:pPr>
            <w:r>
              <w:rPr>
                <w:rFonts w:ascii="Arial" w:hAnsi="Arial" w:cs="Arial"/>
                <w:b/>
                <w:sz w:val="20"/>
                <w:szCs w:val="20"/>
              </w:rPr>
              <w:t>Rotační osa se sklíčidlem</w:t>
            </w:r>
          </w:p>
        </w:tc>
        <w:tc>
          <w:tcPr>
            <w:tcW w:w="1270" w:type="dxa"/>
            <w:vAlign w:val="center"/>
          </w:tcPr>
          <w:p w14:paraId="5E2C12D6" w14:textId="4254DAD0" w:rsidR="0005207B" w:rsidRPr="00F249A1" w:rsidRDefault="0005207B" w:rsidP="00951A4B">
            <w:pPr>
              <w:jc w:val="center"/>
              <w:rPr>
                <w:rFonts w:ascii="Arial" w:hAnsi="Arial" w:cs="Arial"/>
                <w:sz w:val="20"/>
                <w:highlight w:val="yellow"/>
              </w:rPr>
            </w:pPr>
            <w:r w:rsidRPr="00F249A1">
              <w:rPr>
                <w:rFonts w:ascii="Arial" w:hAnsi="Arial" w:cs="Arial"/>
                <w:sz w:val="20"/>
                <w:highlight w:val="yellow"/>
              </w:rPr>
              <w:t>[DOPLNIT]</w:t>
            </w:r>
          </w:p>
        </w:tc>
      </w:tr>
      <w:tr w:rsidR="0005207B" w:rsidRPr="00F249A1" w14:paraId="57A329EC" w14:textId="77777777" w:rsidTr="00951A4B">
        <w:trPr>
          <w:trHeight w:val="340"/>
        </w:trPr>
        <w:tc>
          <w:tcPr>
            <w:tcW w:w="7792" w:type="dxa"/>
            <w:vAlign w:val="center"/>
          </w:tcPr>
          <w:p w14:paraId="3CECFAE7" w14:textId="1DD10121" w:rsidR="0005207B" w:rsidRDefault="0005207B" w:rsidP="00951A4B">
            <w:pPr>
              <w:rPr>
                <w:rFonts w:ascii="Arial" w:hAnsi="Arial" w:cs="Arial"/>
                <w:b/>
                <w:sz w:val="20"/>
                <w:szCs w:val="20"/>
              </w:rPr>
            </w:pPr>
            <w:r>
              <w:rPr>
                <w:rFonts w:ascii="Arial" w:hAnsi="Arial" w:cs="Arial"/>
                <w:b/>
                <w:sz w:val="20"/>
                <w:szCs w:val="20"/>
              </w:rPr>
              <w:t>Odsávací jednotka</w:t>
            </w:r>
          </w:p>
        </w:tc>
        <w:tc>
          <w:tcPr>
            <w:tcW w:w="1270" w:type="dxa"/>
            <w:vAlign w:val="center"/>
          </w:tcPr>
          <w:p w14:paraId="6A62494E" w14:textId="4C5B4111" w:rsidR="0005207B" w:rsidRPr="00F249A1" w:rsidRDefault="0005207B"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lastRenderedPageBreak/>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66B2A918" w:rsidR="004A728B" w:rsidRDefault="004A728B" w:rsidP="004A728B"/>
    <w:p w14:paraId="6ED64874" w14:textId="77777777" w:rsidR="00E55C05" w:rsidRPr="00F249A1" w:rsidRDefault="00E55C05" w:rsidP="00D23415">
      <w:pPr>
        <w:pStyle w:val="Nadpis1"/>
      </w:pPr>
      <w:r w:rsidRPr="00F249A1">
        <w:lastRenderedPageBreak/>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w:t>
      </w:r>
      <w:r w:rsidRPr="00F249A1">
        <w:lastRenderedPageBreak/>
        <w:t xml:space="preserve">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r w:rsidRPr="00333D09">
        <w:rPr>
          <w:rStyle w:val="dn"/>
          <w:rFonts w:ascii="Arial" w:hAnsi="Arial" w:cs="Arial"/>
          <w:sz w:val="20"/>
          <w:szCs w:val="20"/>
        </w:rPr>
        <w:t>V</w:t>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4942" w14:textId="77777777" w:rsidR="00DA1A3C" w:rsidRDefault="00DA1A3C">
      <w:pPr>
        <w:spacing w:after="0" w:line="240" w:lineRule="auto"/>
      </w:pPr>
      <w:r>
        <w:separator/>
      </w:r>
    </w:p>
  </w:endnote>
  <w:endnote w:type="continuationSeparator" w:id="0">
    <w:p w14:paraId="4F89B510" w14:textId="77777777" w:rsidR="00DA1A3C" w:rsidRDefault="00DA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r w:rsidRPr="004A728B">
      <w:rPr>
        <w:rFonts w:ascii="Arial" w:hAnsi="Arial" w:cs="Arial"/>
        <w:sz w:val="20"/>
        <w:szCs w:val="20"/>
      </w:rPr>
      <w:t>č.ú</w:t>
    </w:r>
    <w:proofErr w:type="spell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CD514" w14:textId="77777777" w:rsidR="00DA1A3C" w:rsidRDefault="00DA1A3C">
      <w:pPr>
        <w:spacing w:after="0" w:line="240" w:lineRule="auto"/>
      </w:pPr>
      <w:r>
        <w:separator/>
      </w:r>
    </w:p>
  </w:footnote>
  <w:footnote w:type="continuationSeparator" w:id="0">
    <w:p w14:paraId="46948BEF" w14:textId="77777777" w:rsidR="00DA1A3C" w:rsidRDefault="00DA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DA1A3C" w:rsidP="002A3103">
    <w:pPr>
      <w:pStyle w:val="Zhlav"/>
      <w:tabs>
        <w:tab w:val="clear" w:pos="4536"/>
        <w:tab w:val="clear" w:pos="9072"/>
        <w:tab w:val="left" w:pos="4050"/>
      </w:tabs>
      <w:jc w:val="center"/>
    </w:pPr>
  </w:p>
  <w:p w14:paraId="11723B85" w14:textId="789ABDBC" w:rsidR="00396DA7" w:rsidRDefault="00DA1A3C"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5207B"/>
    <w:rsid w:val="00063835"/>
    <w:rsid w:val="00094629"/>
    <w:rsid w:val="001D414D"/>
    <w:rsid w:val="001D5D2B"/>
    <w:rsid w:val="002174A8"/>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A728B"/>
    <w:rsid w:val="004D03CD"/>
    <w:rsid w:val="00525722"/>
    <w:rsid w:val="00572065"/>
    <w:rsid w:val="005D5F37"/>
    <w:rsid w:val="00606C04"/>
    <w:rsid w:val="00627D5B"/>
    <w:rsid w:val="00656659"/>
    <w:rsid w:val="006A0187"/>
    <w:rsid w:val="006F3868"/>
    <w:rsid w:val="00787238"/>
    <w:rsid w:val="00793997"/>
    <w:rsid w:val="0079445E"/>
    <w:rsid w:val="007B7264"/>
    <w:rsid w:val="007F0493"/>
    <w:rsid w:val="007F17A6"/>
    <w:rsid w:val="008011DC"/>
    <w:rsid w:val="008447D3"/>
    <w:rsid w:val="00851C12"/>
    <w:rsid w:val="00875227"/>
    <w:rsid w:val="008B7235"/>
    <w:rsid w:val="008C114D"/>
    <w:rsid w:val="008C7850"/>
    <w:rsid w:val="008E0713"/>
    <w:rsid w:val="008E29E6"/>
    <w:rsid w:val="009072D1"/>
    <w:rsid w:val="00944046"/>
    <w:rsid w:val="00947CE1"/>
    <w:rsid w:val="0095310B"/>
    <w:rsid w:val="009D0907"/>
    <w:rsid w:val="009F7FAD"/>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DA1A3C"/>
    <w:rsid w:val="00E02B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90BD-BBF2-4296-B578-51F09782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2320</Words>
  <Characters>13693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4</cp:revision>
  <cp:lastPrinted>2025-06-29T16:52:00Z</cp:lastPrinted>
  <dcterms:created xsi:type="dcterms:W3CDTF">2025-12-14T14:32:00Z</dcterms:created>
  <dcterms:modified xsi:type="dcterms:W3CDTF">2025-12-22T06:56:00Z</dcterms:modified>
</cp:coreProperties>
</file>