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8893129" w:rsidR="00EA483E"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422FFD56" w14:textId="77777777" w:rsidR="0055499C" w:rsidRPr="00AC24A3" w:rsidRDefault="0055499C" w:rsidP="00275E12">
      <w:pPr>
        <w:pStyle w:val="20Hlavikasted"/>
      </w:pP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425538D7" w:rsidR="00C7732C" w:rsidRPr="006D6CE2" w:rsidRDefault="003D5EDB" w:rsidP="00F05E75">
      <w:pPr>
        <w:pStyle w:val="07Psmeno"/>
      </w:pPr>
      <w:r w:rsidRPr="006D6CE2">
        <w:t>Prodávající podal Nabídku v</w:t>
      </w:r>
      <w:r w:rsidR="000B27D7">
        <w:t xml:space="preserve"> zadávacím</w:t>
      </w:r>
      <w:r w:rsidRPr="006D6CE2">
        <w:t xml:space="preserve"> řízení Veřejné zakázky</w:t>
      </w:r>
      <w:r w:rsidR="00401E75" w:rsidRPr="006D6CE2">
        <w:t xml:space="preserve">, jež byla zadávána v souladu se ZZVZ </w:t>
      </w:r>
      <w:r w:rsidR="000B27D7">
        <w:t xml:space="preserve">v podlimitním </w:t>
      </w:r>
      <w:r w:rsidR="000B27D7" w:rsidRPr="004E1E47">
        <w:t>režimu</w:t>
      </w:r>
      <w:r w:rsidR="00A04D88" w:rsidRPr="004E1E47">
        <w:t xml:space="preserve"> a</w:t>
      </w:r>
      <w:r w:rsidR="00E16150" w:rsidRPr="004E1E47">
        <w:t xml:space="preserve"> jejíž plnění je financováno v rámci Dotační akce</w:t>
      </w:r>
      <w:r w:rsidR="00E16150">
        <w:t>,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3D408511" w:rsidR="008E0BA1" w:rsidRDefault="008E0BA1">
      <w:pPr>
        <w:sectPr w:rsidR="008E0BA1" w:rsidSect="00C60E0C">
          <w:headerReference w:type="even" r:id="rId8"/>
          <w:headerReference w:type="default" r:id="rId9"/>
          <w:footerReference w:type="default" r:id="rId10"/>
          <w:pgSz w:w="11906" w:h="16838"/>
          <w:pgMar w:top="1417" w:right="1417" w:bottom="1417" w:left="1417" w:header="567" w:footer="567" w:gutter="0"/>
          <w:cols w:space="708"/>
          <w:docGrid w:linePitch="360"/>
        </w:sectPr>
      </w:pP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Pr="004E1E47" w:rsidRDefault="007014B3" w:rsidP="007014B3">
      <w:pPr>
        <w:pStyle w:val="05Odstavecslovan"/>
      </w:pPr>
      <w:r>
        <w:t xml:space="preserve">Níže uvedené pojmy, výrazy a zkratky mají v této Smlouvě následující význam s výjimkou případů, kdy </w:t>
      </w:r>
      <w:r w:rsidRPr="004E1E47">
        <w:t>kontext vyžaduje jiný výklad:</w:t>
      </w:r>
    </w:p>
    <w:p w14:paraId="5211F2D3" w14:textId="6EA7E74C" w:rsidR="00E16150" w:rsidRPr="004E1E47" w:rsidRDefault="00E16150" w:rsidP="00E16150">
      <w:pPr>
        <w:pStyle w:val="07Psmeno"/>
      </w:pPr>
      <w:r w:rsidRPr="004E1E47">
        <w:t>„</w:t>
      </w:r>
      <w:r w:rsidRPr="004E1E47">
        <w:rPr>
          <w:b/>
        </w:rPr>
        <w:t>Dotační akce</w:t>
      </w:r>
      <w:r w:rsidRPr="004E1E47">
        <w:t>“ je akce s identifikačním číslem [</w:t>
      </w:r>
      <w:r w:rsidRPr="004E1E47">
        <w:rPr>
          <w:highlight w:val="green"/>
        </w:rPr>
        <w:t>bude doplněno</w:t>
      </w:r>
      <w:r w:rsidRPr="004E1E47">
        <w:t>] v rámci dotačního projektu s názvem „Plavidlo pro profesionální použití se zamýšleným užitím jako plavidlo záchranné služby 2026" poskytovatele IROP;</w:t>
      </w:r>
    </w:p>
    <w:p w14:paraId="0095720B" w14:textId="5A726646" w:rsidR="00DC4DB8" w:rsidRPr="004E1E47" w:rsidRDefault="007B1683" w:rsidP="00DC4DB8">
      <w:pPr>
        <w:pStyle w:val="07Psmeno"/>
      </w:pPr>
      <w:r w:rsidRPr="004E1E47">
        <w:t>„</w:t>
      </w:r>
      <w:r w:rsidRPr="004E1E47">
        <w:rPr>
          <w:b/>
          <w:bCs/>
        </w:rPr>
        <w:t>DPH</w:t>
      </w:r>
      <w:r w:rsidRPr="004E1E47">
        <w:t>“ znamená daň z přidané hodnoty;</w:t>
      </w:r>
    </w:p>
    <w:p w14:paraId="7CE94B83" w14:textId="54FFEDC0" w:rsidR="00E16150" w:rsidRPr="004E1E47" w:rsidRDefault="00E16150" w:rsidP="00DC4DB8">
      <w:pPr>
        <w:pStyle w:val="07Psmeno"/>
      </w:pPr>
      <w:r w:rsidRPr="004E1E47">
        <w:t>„</w:t>
      </w:r>
      <w:r w:rsidRPr="004E1E47">
        <w:rPr>
          <w:b/>
        </w:rPr>
        <w:t>IROP</w:t>
      </w:r>
      <w:r w:rsidRPr="004E1E47">
        <w:t>“ znamená Integrovaný regionální operační program.</w:t>
      </w:r>
    </w:p>
    <w:p w14:paraId="557A960E" w14:textId="3633E999" w:rsidR="003F23B8" w:rsidRPr="004E1E47" w:rsidRDefault="003F23B8" w:rsidP="00DC4DB8">
      <w:pPr>
        <w:pStyle w:val="07Psmeno"/>
      </w:pPr>
      <w:r w:rsidRPr="004E1E47">
        <w:t>„</w:t>
      </w:r>
      <w:r w:rsidRPr="004E1E47">
        <w:rPr>
          <w:b/>
          <w:bCs/>
        </w:rPr>
        <w:t>Kupující</w:t>
      </w:r>
      <w:r w:rsidRPr="004E1E47">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584E436F"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 xml:space="preserve">v </w:t>
      </w:r>
      <w:r w:rsidR="00436214">
        <w:t>zadávacím</w:t>
      </w:r>
      <w:r w:rsidR="00267AB3" w:rsidRPr="006D6CE2">
        <w:t xml:space="preserve">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7FA6213D"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436214">
        <w:t>1</w:t>
      </w:r>
      <w:r w:rsidR="006D6CE2" w:rsidRPr="006D6CE2">
        <w:t xml:space="preserve"> ks </w:t>
      </w:r>
      <w:r w:rsidR="00436214" w:rsidRPr="00436214">
        <w:t>plavidla pro profesionální použití se zamýšleným užitím jako plavidlo záchranné služby, včetně dodání do místa plnění a předložení příslušných dokumentů</w:t>
      </w:r>
      <w:r w:rsidR="00125447" w:rsidRPr="006D6CE2">
        <w:t>; Předmět koupě je blíže specifikovaný</w:t>
      </w:r>
      <w:r w:rsidR="00F350E0" w:rsidRPr="006D6CE2">
        <w:t xml:space="preserve"> Technickou specifikací</w:t>
      </w:r>
      <w:r w:rsidR="006D6CE2" w:rsidRPr="006D6CE2">
        <w:t xml:space="preserve"> </w:t>
      </w:r>
      <w:r w:rsidR="007A13C8" w:rsidRPr="006D6CE2">
        <w:t>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3ABE21D6" w:rsidR="0089559F" w:rsidRDefault="0089559F" w:rsidP="00113496">
      <w:pPr>
        <w:pStyle w:val="07Psmeno"/>
      </w:pPr>
      <w:r>
        <w:t>„</w:t>
      </w:r>
      <w:r>
        <w:rPr>
          <w:b/>
          <w:bCs/>
        </w:rPr>
        <w:t>Veřejná zakázka</w:t>
      </w:r>
      <w:r>
        <w:t>“ zname</w:t>
      </w:r>
      <w:r w:rsidRPr="006D6CE2">
        <w:t xml:space="preserve">ná </w:t>
      </w:r>
      <w:r w:rsidR="00436214">
        <w:t xml:space="preserve">podlimitní </w:t>
      </w:r>
      <w:r w:rsidRPr="006D6CE2">
        <w:t xml:space="preserve">veřejnou zakázku s názvem </w:t>
      </w:r>
      <w:r w:rsidR="00032C8E">
        <w:t>„</w:t>
      </w:r>
      <w:r w:rsidR="00436214" w:rsidRPr="00436214">
        <w:t>Plavidlo pro profesionální použití se zamýšleným užitím jako plavidlo záchranné služby 2026</w:t>
      </w:r>
      <w:r w:rsidR="00032C8E">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4616A76E" w:rsidR="00A6791C" w:rsidRDefault="00A6791C" w:rsidP="00113496">
      <w:pPr>
        <w:pStyle w:val="07Psmeno"/>
      </w:pPr>
      <w:r>
        <w:t>slova vyjadřující určitý rod zahrnují i ostatní rody.</w:t>
      </w:r>
    </w:p>
    <w:p w14:paraId="6E2202F8" w14:textId="77777777" w:rsidR="0055499C" w:rsidRDefault="0055499C" w:rsidP="0055499C">
      <w:pPr>
        <w:pStyle w:val="07Psmeno"/>
        <w:numPr>
          <w:ilvl w:val="0"/>
          <w:numId w:val="0"/>
        </w:numPr>
        <w:ind w:left="851"/>
      </w:pP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2C767040" w14:textId="301F570D" w:rsidR="00E16150" w:rsidRDefault="005203FC" w:rsidP="00E16150">
      <w:pPr>
        <w:pStyle w:val="05Odstavecslovan"/>
        <w:tabs>
          <w:tab w:val="clear" w:pos="426"/>
          <w:tab w:val="num" w:pos="425"/>
        </w:tabs>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w:t>
      </w:r>
      <w:r>
        <w:lastRenderedPageBreak/>
        <w:t xml:space="preserve">souvisejícího příslušenství, </w:t>
      </w:r>
      <w:r w:rsidR="00022449">
        <w:t>včetně manuálů k použití, a poskytnutí záručního servisu k Předmětu koupě.</w:t>
      </w:r>
    </w:p>
    <w:p w14:paraId="754AC05F" w14:textId="636AD9B9" w:rsidR="00E16150" w:rsidRDefault="00174412" w:rsidP="00E16150">
      <w:pPr>
        <w:pStyle w:val="05Odstavecslovan"/>
        <w:tabs>
          <w:tab w:val="clear" w:pos="426"/>
          <w:tab w:val="num" w:pos="425"/>
        </w:tabs>
      </w:pPr>
      <w:r>
        <w:t>Předmět koupě musí odpovídat právním předpisům a platným českým technickým normám, které se na něj vztahují</w:t>
      </w:r>
      <w:r w:rsidR="009E6F41">
        <w:t>, a to včetně technických norem, které nejsou obecně závazné.</w:t>
      </w:r>
    </w:p>
    <w:p w14:paraId="010B85BD" w14:textId="77777777" w:rsidR="0055499C" w:rsidRDefault="0055499C" w:rsidP="0055499C">
      <w:pPr>
        <w:pStyle w:val="05Odstavecslovan"/>
        <w:numPr>
          <w:ilvl w:val="0"/>
          <w:numId w:val="0"/>
        </w:numPr>
        <w:ind w:left="426"/>
      </w:pPr>
    </w:p>
    <w:p w14:paraId="6A0F7CD9" w14:textId="1F376673" w:rsidR="00525BC0" w:rsidRPr="006D6CE2" w:rsidRDefault="00525BC0" w:rsidP="001F0B31">
      <w:pPr>
        <w:pStyle w:val="02lnek"/>
      </w:pPr>
      <w:r>
        <w:t xml:space="preserve">Doba a </w:t>
      </w:r>
      <w:r w:rsidRPr="006D6CE2">
        <w:t>místo plnění</w:t>
      </w:r>
    </w:p>
    <w:p w14:paraId="7D2C4B4C" w14:textId="53962726"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8C4EB2">
        <w:t>4</w:t>
      </w:r>
      <w:r w:rsidR="00227C85">
        <w:t xml:space="preserve"> měsíců ode dne účinnosti této Smlouvy</w:t>
      </w:r>
      <w:r w:rsidR="006D6CE2" w:rsidRPr="006D6CE2">
        <w:t>.</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32165D5B"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1F0840A8" w14:textId="77777777" w:rsidR="0055499C" w:rsidRDefault="0055499C" w:rsidP="0055499C">
      <w:pPr>
        <w:pStyle w:val="05Odstavecslovan"/>
        <w:numPr>
          <w:ilvl w:val="0"/>
          <w:numId w:val="0"/>
        </w:numPr>
        <w:ind w:left="426"/>
      </w:pP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Pr="004E1E47" w:rsidRDefault="005B554C" w:rsidP="008E1FC9">
      <w:pPr>
        <w:pStyle w:val="07Psmeno"/>
      </w:pPr>
      <w:r>
        <w:t>lhůtu splatnosti;</w:t>
      </w:r>
    </w:p>
    <w:p w14:paraId="05891362" w14:textId="296B1A8F" w:rsidR="00682D7E" w:rsidRPr="004E1E47" w:rsidRDefault="00DF4450" w:rsidP="006D6CE2">
      <w:pPr>
        <w:pStyle w:val="07Psmeno"/>
      </w:pPr>
      <w:r w:rsidRPr="004E1E47">
        <w:t>rozpis jednotlivých položek Předmětu koupě</w:t>
      </w:r>
      <w:r w:rsidR="00E16150" w:rsidRPr="004E1E47">
        <w:t>;</w:t>
      </w:r>
    </w:p>
    <w:p w14:paraId="0CE6B60C" w14:textId="7532F3E4" w:rsidR="00E16150" w:rsidRPr="004E1E47" w:rsidRDefault="00E16150" w:rsidP="006D6CE2">
      <w:pPr>
        <w:pStyle w:val="07Psmeno"/>
      </w:pPr>
      <w:r w:rsidRPr="004E1E47">
        <w:t>název a číslo Dotační akce, včetně uvedení poskytovatele dotace.</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lastRenderedPageBreak/>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1AA52EC9" w:rsidR="00C050B4" w:rsidRDefault="00C050B4" w:rsidP="00D95318">
      <w:pPr>
        <w:pStyle w:val="05Odstavecslovan"/>
      </w:pPr>
      <w:r>
        <w:t>Kupující neposkytuje Prodávajícímu zálohu.</w:t>
      </w:r>
    </w:p>
    <w:p w14:paraId="4E008443" w14:textId="77777777" w:rsidR="0055499C" w:rsidRDefault="0055499C" w:rsidP="0055499C">
      <w:pPr>
        <w:pStyle w:val="05Odstavecslovan"/>
        <w:numPr>
          <w:ilvl w:val="0"/>
          <w:numId w:val="0"/>
        </w:numPr>
        <w:ind w:left="426"/>
      </w:pP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lastRenderedPageBreak/>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3EC357A8" w:rsidR="002952BA" w:rsidRDefault="002952BA" w:rsidP="00EB205D">
      <w:pPr>
        <w:pStyle w:val="07Psmeno"/>
      </w:pPr>
      <w:r>
        <w:t>číslo této Smlouvy Kupujícího,</w:t>
      </w:r>
    </w:p>
    <w:p w14:paraId="67069C2C" w14:textId="2F29C5AA" w:rsidR="00E16150" w:rsidRPr="004E1E47" w:rsidRDefault="00E16150" w:rsidP="00EB205D">
      <w:pPr>
        <w:pStyle w:val="07Psmeno"/>
      </w:pPr>
      <w:r w:rsidRPr="004E1E47">
        <w:t>identifikační číslo Dotační akce,</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4126FAB0"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0F6C1A2B" w14:textId="77777777" w:rsidR="0055499C" w:rsidRDefault="0055499C" w:rsidP="0055499C">
      <w:pPr>
        <w:pStyle w:val="05Odstavecslovan"/>
        <w:numPr>
          <w:ilvl w:val="0"/>
          <w:numId w:val="0"/>
        </w:numPr>
        <w:ind w:left="426"/>
      </w:pP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Pr="00DC4DB8" w:rsidRDefault="000A7E00" w:rsidP="00DC4DB8">
      <w:pPr>
        <w:pStyle w:val="05Odstavecslovan"/>
        <w:tabs>
          <w:tab w:val="clear" w:pos="426"/>
          <w:tab w:val="num" w:pos="425"/>
        </w:tabs>
        <w:spacing w:before="120" w:after="0" w:line="276" w:lineRule="auto"/>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 xml:space="preserve">byla dodaná věc vadná </w:t>
      </w:r>
      <w:r w:rsidR="00A35175" w:rsidRPr="00DC4DB8">
        <w:t>již při převzetí.</w:t>
      </w:r>
    </w:p>
    <w:p w14:paraId="6C8E60B7" w14:textId="2D2136E1" w:rsidR="00DC4DB8" w:rsidRPr="00DC4DB8" w:rsidRDefault="00F10316" w:rsidP="00DC4DB8">
      <w:pPr>
        <w:pStyle w:val="05Odstavecslovan"/>
        <w:tabs>
          <w:tab w:val="clear" w:pos="426"/>
          <w:tab w:val="num" w:pos="425"/>
        </w:tabs>
        <w:spacing w:before="120" w:after="0" w:line="276" w:lineRule="auto"/>
      </w:pPr>
      <w:bookmarkStart w:id="7" w:name="_Ref157535618"/>
      <w:r w:rsidRPr="00DC4DB8">
        <w:t xml:space="preserve">Prodávající poskytuje </w:t>
      </w:r>
      <w:r w:rsidR="000A7E00" w:rsidRPr="00DC4DB8">
        <w:t>na Předmět koupě Záruku v</w:t>
      </w:r>
      <w:r w:rsidR="00DC4DB8" w:rsidRPr="00DC4DB8">
        <w:t> </w:t>
      </w:r>
      <w:r w:rsidR="000A7E00" w:rsidRPr="00DC4DB8">
        <w:t>délce</w:t>
      </w:r>
      <w:bookmarkEnd w:id="7"/>
      <w:r w:rsidR="00DC4DB8" w:rsidRPr="00DC4DB8">
        <w:t>:</w:t>
      </w:r>
    </w:p>
    <w:tbl>
      <w:tblPr>
        <w:tblW w:w="10240" w:type="dxa"/>
        <w:tblCellMar>
          <w:left w:w="70" w:type="dxa"/>
          <w:right w:w="70" w:type="dxa"/>
        </w:tblCellMar>
        <w:tblLook w:val="00A0" w:firstRow="1" w:lastRow="0" w:firstColumn="1" w:lastColumn="0" w:noHBand="0" w:noVBand="0"/>
      </w:tblPr>
      <w:tblGrid>
        <w:gridCol w:w="10240"/>
      </w:tblGrid>
      <w:tr w:rsidR="00DC4DB8" w:rsidRPr="00DC4DB8" w14:paraId="69367D9E" w14:textId="77777777" w:rsidTr="00E03BED">
        <w:trPr>
          <w:trHeight w:val="373"/>
        </w:trPr>
        <w:tc>
          <w:tcPr>
            <w:tcW w:w="10240" w:type="dxa"/>
            <w:vAlign w:val="center"/>
          </w:tcPr>
          <w:p w14:paraId="7B78ED5A" w14:textId="19019484" w:rsidR="00DC4DB8" w:rsidRPr="00DC4DB8" w:rsidRDefault="00DC4DB8" w:rsidP="00DC4DB8">
            <w:pPr>
              <w:pStyle w:val="Odstavecseseznamem"/>
              <w:numPr>
                <w:ilvl w:val="0"/>
                <w:numId w:val="9"/>
              </w:numPr>
              <w:spacing w:before="120" w:after="0" w:line="276" w:lineRule="auto"/>
              <w:ind w:right="1023"/>
              <w:rPr>
                <w:rFonts w:ascii="Arial" w:hAnsi="Arial" w:cs="Arial"/>
                <w:kern w:val="2"/>
                <w:sz w:val="20"/>
                <w:szCs w:val="20"/>
                <w:lang w:eastAsia="cs-CZ" w:bidi="hi-IN"/>
              </w:rPr>
            </w:pPr>
            <w:r w:rsidRPr="00DC4DB8">
              <w:rPr>
                <w:rFonts w:ascii="Arial" w:hAnsi="Arial" w:cs="Arial"/>
                <w:kern w:val="2"/>
                <w:sz w:val="20"/>
                <w:szCs w:val="20"/>
                <w:lang w:eastAsia="cs-CZ" w:bidi="hi-IN"/>
              </w:rPr>
              <w:t>minimálně 24 měsíců, včetně garance na motor dle výrobce a uváděné moto hodiny</w:t>
            </w:r>
            <w:r>
              <w:rPr>
                <w:rFonts w:ascii="Arial" w:hAnsi="Arial" w:cs="Arial"/>
                <w:kern w:val="2"/>
                <w:sz w:val="20"/>
                <w:szCs w:val="20"/>
                <w:lang w:eastAsia="cs-CZ" w:bidi="hi-IN"/>
              </w:rPr>
              <w:t>;</w:t>
            </w:r>
          </w:p>
        </w:tc>
      </w:tr>
      <w:tr w:rsidR="00DC4DB8" w:rsidRPr="00DC4DB8" w14:paraId="1F9CC14A" w14:textId="77777777" w:rsidTr="00E03BED">
        <w:trPr>
          <w:trHeight w:val="373"/>
        </w:trPr>
        <w:tc>
          <w:tcPr>
            <w:tcW w:w="10240" w:type="dxa"/>
            <w:vAlign w:val="center"/>
          </w:tcPr>
          <w:p w14:paraId="6A7E1433" w14:textId="62F620A7" w:rsidR="00DC4DB8" w:rsidRPr="00DC4DB8" w:rsidRDefault="00DC4DB8" w:rsidP="00DC4DB8">
            <w:pPr>
              <w:pStyle w:val="Odstavecseseznamem"/>
              <w:numPr>
                <w:ilvl w:val="0"/>
                <w:numId w:val="9"/>
              </w:numPr>
              <w:spacing w:before="120" w:after="0" w:line="276" w:lineRule="auto"/>
              <w:rPr>
                <w:rFonts w:ascii="Arial" w:hAnsi="Arial" w:cs="Arial"/>
                <w:kern w:val="2"/>
                <w:sz w:val="20"/>
                <w:szCs w:val="20"/>
                <w:lang w:eastAsia="cs-CZ" w:bidi="hi-IN"/>
              </w:rPr>
            </w:pPr>
            <w:r>
              <w:rPr>
                <w:rFonts w:ascii="Arial" w:hAnsi="Arial" w:cs="Arial"/>
                <w:kern w:val="2"/>
                <w:sz w:val="20"/>
                <w:szCs w:val="20"/>
                <w:lang w:eastAsia="cs-CZ" w:bidi="hi-IN"/>
              </w:rPr>
              <w:t>p</w:t>
            </w:r>
            <w:r w:rsidRPr="00DC4DB8">
              <w:rPr>
                <w:rFonts w:ascii="Arial" w:hAnsi="Arial" w:cs="Arial"/>
                <w:kern w:val="2"/>
                <w:sz w:val="20"/>
                <w:szCs w:val="20"/>
                <w:lang w:eastAsia="cs-CZ" w:bidi="hi-IN"/>
              </w:rPr>
              <w:t xml:space="preserve">ožadovaná záruka na </w:t>
            </w:r>
            <w:r>
              <w:rPr>
                <w:rFonts w:ascii="Arial" w:hAnsi="Arial" w:cs="Arial"/>
                <w:kern w:val="2"/>
                <w:sz w:val="20"/>
                <w:szCs w:val="20"/>
                <w:lang w:eastAsia="cs-CZ" w:bidi="hi-IN"/>
              </w:rPr>
              <w:t xml:space="preserve">zdravotnickou </w:t>
            </w:r>
            <w:r w:rsidRPr="00DC4DB8">
              <w:rPr>
                <w:rFonts w:ascii="Arial" w:hAnsi="Arial" w:cs="Arial"/>
                <w:kern w:val="2"/>
                <w:sz w:val="20"/>
                <w:szCs w:val="20"/>
                <w:lang w:eastAsia="cs-CZ" w:bidi="hi-IN"/>
              </w:rPr>
              <w:t>zástavbu: minimálně 24 měsíců</w:t>
            </w:r>
            <w:r>
              <w:rPr>
                <w:rFonts w:ascii="Arial" w:hAnsi="Arial" w:cs="Arial"/>
                <w:kern w:val="2"/>
                <w:sz w:val="20"/>
                <w:szCs w:val="20"/>
                <w:lang w:eastAsia="cs-CZ" w:bidi="hi-IN"/>
              </w:rPr>
              <w:t>;</w:t>
            </w:r>
          </w:p>
          <w:p w14:paraId="01D9E7C2" w14:textId="62E76B88" w:rsidR="00DC4DB8" w:rsidRPr="00DC4DB8" w:rsidRDefault="00DC4DB8" w:rsidP="00DC4DB8">
            <w:pPr>
              <w:pStyle w:val="Odstavecseseznamem"/>
              <w:numPr>
                <w:ilvl w:val="0"/>
                <w:numId w:val="9"/>
              </w:numPr>
              <w:spacing w:before="120" w:after="0" w:line="276" w:lineRule="auto"/>
              <w:rPr>
                <w:rFonts w:ascii="Arial" w:hAnsi="Arial" w:cs="Arial"/>
                <w:kern w:val="2"/>
                <w:sz w:val="20"/>
                <w:szCs w:val="20"/>
                <w:lang w:eastAsia="cs-CZ" w:bidi="hi-IN"/>
              </w:rPr>
            </w:pPr>
            <w:r>
              <w:rPr>
                <w:rFonts w:ascii="Arial" w:hAnsi="Arial" w:cs="Arial"/>
                <w:kern w:val="2"/>
                <w:sz w:val="20"/>
                <w:szCs w:val="20"/>
                <w:lang w:eastAsia="cs-CZ" w:bidi="hi-IN"/>
              </w:rPr>
              <w:t>p</w:t>
            </w:r>
            <w:r w:rsidRPr="00DC4DB8">
              <w:rPr>
                <w:rFonts w:ascii="Arial" w:hAnsi="Arial" w:cs="Arial"/>
                <w:kern w:val="2"/>
                <w:sz w:val="20"/>
                <w:szCs w:val="20"/>
                <w:lang w:eastAsia="cs-CZ" w:bidi="hi-IN"/>
              </w:rPr>
              <w:t>ožadovaná záruka na grafické provedení – polepy s vysokou odolností: minimálně 36 měsíců.</w:t>
            </w:r>
          </w:p>
        </w:tc>
      </w:tr>
    </w:tbl>
    <w:p w14:paraId="1327D321" w14:textId="5156086F" w:rsidR="002265DD" w:rsidRPr="00DC4DB8" w:rsidRDefault="00D46395" w:rsidP="00DC4DB8">
      <w:pPr>
        <w:pStyle w:val="05Odstavecslovan"/>
        <w:numPr>
          <w:ilvl w:val="0"/>
          <w:numId w:val="0"/>
        </w:numPr>
        <w:spacing w:before="120" w:after="0" w:line="276" w:lineRule="auto"/>
        <w:ind w:left="426"/>
      </w:pPr>
      <w:r w:rsidRPr="00DC4DB8">
        <w:t>Záruční doba se prodlužuje o dobu, po kterou nelze Předmět koupě užívat</w:t>
      </w:r>
      <w:r w:rsidR="00CC7211" w:rsidRPr="00DC4DB8">
        <w:t xml:space="preserve"> pro vady, za něž odpovídá Prodávající. </w:t>
      </w:r>
      <w:r w:rsidR="00037CCB" w:rsidRPr="00DC4DB8">
        <w:t>Kupující se zavazuje po dobu Záruční doby respektovat technické pokyny Prodávajícího k Předmětu koupě.</w:t>
      </w:r>
    </w:p>
    <w:p w14:paraId="0737D08F" w14:textId="732CDE67" w:rsidR="00E52E96" w:rsidRDefault="00E52E96" w:rsidP="00DC4DB8">
      <w:pPr>
        <w:pStyle w:val="05Odstavecslovan"/>
        <w:tabs>
          <w:tab w:val="clear" w:pos="426"/>
          <w:tab w:val="num" w:pos="425"/>
        </w:tabs>
        <w:spacing w:before="120" w:line="276" w:lineRule="auto"/>
      </w:pPr>
      <w:r w:rsidRPr="00DC4DB8">
        <w:t>Záruční doba začíná plynout dnem</w:t>
      </w:r>
      <w:r>
        <w:t xml:space="preserve">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lastRenderedPageBreak/>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41348A22"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7A42221" w14:textId="77777777" w:rsidR="0055499C" w:rsidRDefault="0055499C" w:rsidP="0055499C">
      <w:pPr>
        <w:pStyle w:val="05Odstavecslovan"/>
        <w:numPr>
          <w:ilvl w:val="0"/>
          <w:numId w:val="0"/>
        </w:numPr>
        <w:ind w:left="426"/>
      </w:pP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1A77214"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w:t>
      </w:r>
      <w:r w:rsidR="00436214">
        <w:t>, které bylo součástí jeho N</w:t>
      </w:r>
      <w:r>
        <w:t>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lastRenderedPageBreak/>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556DA242"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w:t>
      </w:r>
      <w:r w:rsidR="00436214">
        <w:t>ů, které bylo součástí jeho Nabídky</w:t>
      </w:r>
      <w:r>
        <w:t>.</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152F6F04" w:rsidR="008C221A" w:rsidRPr="004E1E47" w:rsidRDefault="008C221A" w:rsidP="0078206E">
      <w:pPr>
        <w:pStyle w:val="05Odstavecslovan"/>
      </w:pPr>
      <w:r>
        <w:t xml:space="preserve">Prodávající se zavazuje, že veškeré náhradní díly či další komponenty, tvořící součást či příslušenství Předmětu koupě, nebo poskytnuté v rámci záručního servisu budou vždy </w:t>
      </w:r>
      <w:r w:rsidRPr="004E1E47">
        <w:t>bezvýhradně zajištěny v kvalitě odpovídající originálu nebo odpovídající značkovým originálním náhradním dílům.</w:t>
      </w:r>
    </w:p>
    <w:p w14:paraId="394EFF8D" w14:textId="0412881F" w:rsidR="00E16150" w:rsidRPr="004E1E47" w:rsidRDefault="00E16150" w:rsidP="00E16150">
      <w:pPr>
        <w:pStyle w:val="05Odstavecslovan"/>
      </w:pPr>
      <w:r w:rsidRPr="004E1E47">
        <w:t xml:space="preserve">Veřejná zakázka </w:t>
      </w:r>
      <w:r w:rsidR="004E1E47">
        <w:t>může být</w:t>
      </w:r>
      <w:r w:rsidRPr="004E1E47">
        <w:t xml:space="preserve"> spolufinancována z prostředků strukturálních fondů EU, IROP, název projektu „Plavidlo pro profesionální použití se zamýšleným užitím jako plavidlo záchranné služby 2026" , přičemž registrační číslo projektu bude sděleno až bude přiděleno.</w:t>
      </w:r>
    </w:p>
    <w:p w14:paraId="26AE8CE8" w14:textId="48BD97F5" w:rsidR="00E16150" w:rsidRPr="004E1E47" w:rsidRDefault="00E16150" w:rsidP="00E16150">
      <w:pPr>
        <w:pStyle w:val="05Odstavecslovan"/>
      </w:pPr>
      <w:r w:rsidRPr="004E1E47">
        <w:t>Prodávající souhlasí s tím, že poskytovatel dotace programu IROP je oprávněn ke kontrole čerpání prostředků i vůči Prodávajícímu a zavazuje se kontrolu umožnit a poskytnout při provedené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 a to minimálně do 31. 5. 2035.</w:t>
      </w:r>
    </w:p>
    <w:p w14:paraId="57C2BA01" w14:textId="6A276EA1" w:rsidR="00E16150" w:rsidRPr="004E1E47" w:rsidRDefault="00E16150" w:rsidP="00E16150">
      <w:pPr>
        <w:pStyle w:val="05Odstavecslovan"/>
      </w:pPr>
      <w:r w:rsidRPr="004E1E47">
        <w:t xml:space="preserve">Prodávající se zavazuje počínat si tak, aby nedošlo k porušení dotačních podmínek: </w:t>
      </w:r>
      <w:hyperlink r:id="rId11" w:history="1">
        <w:r w:rsidRPr="004E1E47">
          <w:rPr>
            <w:rStyle w:val="Hypertextovodkaz"/>
            <w:color w:val="auto"/>
          </w:rPr>
          <w:t>https://irop.gov.cz/cs/vyzvy-2021-2027/vyzvy/13vyzvairop</w:t>
        </w:r>
      </w:hyperlink>
      <w:r w:rsidRPr="004E1E47">
        <w:t>. Prodávající prohlašuje, že se se zněním dotačních podmínek seznámil.</w:t>
      </w:r>
    </w:p>
    <w:p w14:paraId="78E4FC55" w14:textId="77777777" w:rsidR="0055499C" w:rsidRDefault="0055499C" w:rsidP="0055499C">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lastRenderedPageBreak/>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4FAF6685" w:rsidR="00795CCD" w:rsidRDefault="00561D52" w:rsidP="00627055">
      <w:pPr>
        <w:pStyle w:val="07Psmeno"/>
      </w:pPr>
      <w:r>
        <w:t xml:space="preserve">zjistí-li Kupující, </w:t>
      </w:r>
      <w:r w:rsidR="00AF0EB5">
        <w:t>že prohlášení k mezinárodním sankcím</w:t>
      </w:r>
      <w:r w:rsidR="00A04BC3">
        <w:t xml:space="preserve"> či prohlášení ke střetu zájmů z</w:t>
      </w:r>
      <w:r w:rsidR="00436214">
        <w:t> Nabídky Prodávajícího</w:t>
      </w:r>
      <w:r w:rsidR="00A04BC3">
        <w:t xml:space="preserve">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61CD432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xml:space="preserve">, je Prodávající povinen zaplatit Kupujícímu smluvní pokutu ve výši </w:t>
      </w:r>
      <w:r w:rsidR="00DC4DB8">
        <w:t>10</w:t>
      </w:r>
      <w:r w:rsidR="00214CDA">
        <w:t>.000,-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6784981F"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64CCC5A3" w14:textId="77777777" w:rsidR="0055499C" w:rsidRDefault="0055499C" w:rsidP="0055499C">
      <w:pPr>
        <w:pStyle w:val="05Odstavecslovan"/>
        <w:numPr>
          <w:ilvl w:val="0"/>
          <w:numId w:val="0"/>
        </w:numPr>
        <w:ind w:left="426"/>
      </w:pP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lastRenderedPageBreak/>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4FCC0463" w:rsidR="004B0B16" w:rsidRDefault="00B522A3" w:rsidP="002B3A55">
      <w:pPr>
        <w:pStyle w:val="10Textpododr"/>
      </w:pPr>
      <w:r>
        <w:t>Mgr. Vít Dvořák, DiS.</w:t>
      </w:r>
      <w:r w:rsidR="006D6CE2" w:rsidRPr="006D6CE2">
        <w:t xml:space="preserve">, e-mail: </w:t>
      </w:r>
      <w:r>
        <w:t>vit.dvorak</w:t>
      </w:r>
      <w:r w:rsidR="006D6CE2" w:rsidRPr="006D6CE2">
        <w:t xml:space="preserve">@zachranka.cz,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4CBEF860" w:rsidR="004B0B16" w:rsidRDefault="006D6CE2" w:rsidP="002B3A55">
      <w:pPr>
        <w:pStyle w:val="10Textpododr"/>
      </w:pPr>
      <w:r w:rsidRPr="006D6CE2">
        <w:t xml:space="preserve">Ing. Michaela Steklá, e-mail: michaela.stekla@zachranka.cz, telefon: </w:t>
      </w:r>
      <w:r w:rsidR="000B27D7" w:rsidRPr="000B27D7">
        <w:t>+420 731 137 169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1EC6D908"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4D80C113" w14:textId="77777777" w:rsidR="0055499C" w:rsidRDefault="0055499C" w:rsidP="0055499C">
      <w:pPr>
        <w:pStyle w:val="05Odstavecslovan"/>
        <w:numPr>
          <w:ilvl w:val="0"/>
          <w:numId w:val="0"/>
        </w:numPr>
        <w:ind w:left="426"/>
      </w:pP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lastRenderedPageBreak/>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2"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03AB36E0" w:rsidR="00C570E6" w:rsidRDefault="00C570E6" w:rsidP="001F0B31">
      <w:pPr>
        <w:pStyle w:val="05Odstavecslovan"/>
      </w:pPr>
      <w:r>
        <w:t xml:space="preserve">Smluvní </w:t>
      </w:r>
      <w:r w:rsidR="004074C5" w:rsidRPr="004074C5">
        <w:t>strany prohlašují, že si Smlouvu přečetly, s obsahem souhlasí a na důkaz jejich svobodné, pravé a vážné vůle připojují své podpisy. Uzavření této Smlouvy bylo schváleno usnesením Rady Středočeského kraje č. ………/RK ze dne ……2026</w:t>
      </w:r>
      <w:r>
        <w:t>.</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08400099" w:rsidR="00113496" w:rsidRDefault="00113496" w:rsidP="00113496">
      <w:pPr>
        <w:pStyle w:val="06Odstavecneslovan"/>
      </w:pPr>
      <w:r w:rsidRPr="00113496">
        <w:rPr>
          <w:b/>
          <w:bCs/>
        </w:rPr>
        <w:t>Příloha č. 1:</w:t>
      </w:r>
      <w:r>
        <w:t xml:space="preserve"> Technická specifikace</w:t>
      </w:r>
    </w:p>
    <w:p w14:paraId="1A63A734" w14:textId="77777777" w:rsidR="00334313" w:rsidRDefault="00334313"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72EB4D0D" w:rsidR="00A950AC" w:rsidRDefault="00A950AC" w:rsidP="00A950AC">
            <w:pPr>
              <w:pStyle w:val="12Tabulkavlevo"/>
            </w:pPr>
            <w:r>
              <w:t>V Kladně dne</w:t>
            </w:r>
            <w:r w:rsidR="004074C5">
              <w:t xml:space="preserve"> dle data el. podpisu</w:t>
            </w:r>
          </w:p>
        </w:tc>
        <w:tc>
          <w:tcPr>
            <w:tcW w:w="4531" w:type="dxa"/>
          </w:tcPr>
          <w:p w14:paraId="559BD177" w14:textId="1BB2422B"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4074C5">
              <w:t>dle data el. podpisu</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7A5EAA0A" w:rsidR="00A950AC" w:rsidRDefault="004074C5" w:rsidP="00A950AC">
            <w:pPr>
              <w:pStyle w:val="13Tabulkasted"/>
            </w:pPr>
            <w:r>
              <w:t>________________________________</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1D69A5BF" w:rsidR="00A950AC" w:rsidRDefault="004074C5" w:rsidP="00A950AC">
            <w:pPr>
              <w:pStyle w:val="13Tabulkasted"/>
            </w:pPr>
            <w:r>
              <w:t>________________________________</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DC43" w14:textId="77777777" w:rsidR="00833C40" w:rsidRDefault="00833C40" w:rsidP="00F237E9">
      <w:pPr>
        <w:spacing w:after="0" w:line="240" w:lineRule="auto"/>
      </w:pPr>
      <w:r>
        <w:separator/>
      </w:r>
    </w:p>
  </w:endnote>
  <w:endnote w:type="continuationSeparator" w:id="0">
    <w:p w14:paraId="69A8D35F" w14:textId="77777777" w:rsidR="00833C40" w:rsidRDefault="00833C40"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Poppins">
    <w:altName w:val="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CF36" w14:textId="77777777" w:rsidR="00833C40" w:rsidRDefault="00833C40" w:rsidP="00F237E9">
      <w:pPr>
        <w:spacing w:after="0" w:line="240" w:lineRule="auto"/>
      </w:pPr>
      <w:r>
        <w:separator/>
      </w:r>
    </w:p>
  </w:footnote>
  <w:footnote w:type="continuationSeparator" w:id="0">
    <w:p w14:paraId="38BCAB46" w14:textId="77777777" w:rsidR="00833C40" w:rsidRDefault="00833C40"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4C62" w14:textId="6C29E29C" w:rsidR="00C60E0C" w:rsidRDefault="00C60E0C">
    <w:r w:rsidRPr="003953CF">
      <w:rPr>
        <w:noProof/>
      </w:rPr>
      <w:drawing>
        <wp:anchor distT="0" distB="0" distL="114300" distR="114300" simplePos="0" relativeHeight="251660288" behindDoc="0" locked="0" layoutInCell="1" allowOverlap="1" wp14:anchorId="07DB7637" wp14:editId="1DE7679F">
          <wp:simplePos x="0" y="0"/>
          <wp:positionH relativeFrom="margin">
            <wp:align>center</wp:align>
          </wp:positionH>
          <wp:positionV relativeFrom="paragraph">
            <wp:posOffset>4071</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14077CA1" w14:textId="77777777" w:rsidR="000B27D7" w:rsidRDefault="000B27D7" w:rsidP="008E0BA1">
          <w:pPr>
            <w:pStyle w:val="17Hlavika-zhlav"/>
            <w:tabs>
              <w:tab w:val="clear" w:pos="8846"/>
              <w:tab w:val="clear" w:pos="9072"/>
              <w:tab w:val="left" w:pos="7155"/>
              <w:tab w:val="left" w:pos="8430"/>
            </w:tabs>
          </w:pPr>
          <w:bookmarkStart w:id="0" w:name="_Hlk182391884"/>
          <w:r w:rsidRPr="000B27D7">
            <w:t xml:space="preserve">Plavidlo pro profesionální použití se </w:t>
          </w:r>
        </w:p>
        <w:p w14:paraId="7B62EFAF" w14:textId="5481D64F" w:rsidR="008E0BA1" w:rsidRPr="00925433" w:rsidRDefault="000B27D7" w:rsidP="008E0BA1">
          <w:pPr>
            <w:pStyle w:val="17Hlavika-zhlav"/>
            <w:tabs>
              <w:tab w:val="clear" w:pos="8846"/>
              <w:tab w:val="clear" w:pos="9072"/>
              <w:tab w:val="left" w:pos="7155"/>
              <w:tab w:val="left" w:pos="8430"/>
            </w:tabs>
          </w:pPr>
          <w:r w:rsidRPr="000B27D7">
            <w:t>zamýšleným užitím jako plavidlo záchranné služby 2026</w:t>
          </w:r>
          <w:r w:rsidR="008E0BA1" w:rsidRPr="00925433">
            <w:tab/>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4B361CBF"/>
    <w:multiLevelType w:val="multilevel"/>
    <w:tmpl w:val="F640B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2C8E"/>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27D7"/>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0094"/>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27C85"/>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2806"/>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4313"/>
    <w:rsid w:val="00335EAD"/>
    <w:rsid w:val="00356608"/>
    <w:rsid w:val="00360F5B"/>
    <w:rsid w:val="00362F15"/>
    <w:rsid w:val="00363D66"/>
    <w:rsid w:val="00366691"/>
    <w:rsid w:val="00373D3A"/>
    <w:rsid w:val="00374703"/>
    <w:rsid w:val="00375247"/>
    <w:rsid w:val="003752F4"/>
    <w:rsid w:val="00377A0C"/>
    <w:rsid w:val="00380619"/>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074C5"/>
    <w:rsid w:val="004136AE"/>
    <w:rsid w:val="00414AD6"/>
    <w:rsid w:val="00422344"/>
    <w:rsid w:val="0043621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1E4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99C"/>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3C40"/>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4EB2"/>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37F0"/>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0E0C"/>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1028"/>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C4DB8"/>
    <w:rsid w:val="00DD4502"/>
    <w:rsid w:val="00DD51A1"/>
    <w:rsid w:val="00DD70D5"/>
    <w:rsid w:val="00DD7CFB"/>
    <w:rsid w:val="00DE1BCB"/>
    <w:rsid w:val="00DE60ED"/>
    <w:rsid w:val="00DF4450"/>
    <w:rsid w:val="00DF7D4D"/>
    <w:rsid w:val="00E03F4C"/>
    <w:rsid w:val="00E043C7"/>
    <w:rsid w:val="00E050A6"/>
    <w:rsid w:val="00E06657"/>
    <w:rsid w:val="00E13DDF"/>
    <w:rsid w:val="00E16150"/>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 w:type="paragraph" w:styleId="Odstavecseseznamem">
    <w:name w:val="List Paragraph"/>
    <w:basedOn w:val="Normln"/>
    <w:uiPriority w:val="99"/>
    <w:qFormat/>
    <w:rsid w:val="00DC4DB8"/>
    <w:pPr>
      <w:suppressAutoHyphens/>
      <w:ind w:left="720"/>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13vyzvairo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C2AD-4A29-4000-B534-864EF910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4096</Words>
  <Characters>24172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413</cp:revision>
  <dcterms:created xsi:type="dcterms:W3CDTF">2024-01-29T17:45:00Z</dcterms:created>
  <dcterms:modified xsi:type="dcterms:W3CDTF">2026-02-12T16:20:00Z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