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3CA5ED2A" w14:textId="77777777" w:rsidR="00A23004" w:rsidRPr="00FC7841" w:rsidRDefault="00A23004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</w:p>
    <w:p w14:paraId="51F6EBC5" w14:textId="3A0E1DD9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2651F">
        <w:rPr>
          <w:rFonts w:cs="Arial"/>
        </w:rPr>
        <w:t> </w:t>
      </w:r>
      <w:r w:rsidRPr="00FC7841">
        <w:rPr>
          <w:rFonts w:cs="Arial"/>
        </w:rPr>
        <w:t>názvem</w:t>
      </w:r>
      <w:r w:rsidR="0092651F">
        <w:rPr>
          <w:rFonts w:cs="Arial"/>
        </w:rPr>
        <w:t xml:space="preserve"> </w:t>
      </w:r>
      <w:r w:rsidR="0092651F">
        <w:rPr>
          <w:rFonts w:cs="Arial"/>
          <w:b/>
        </w:rPr>
        <w:t>Projektová dokumentace pro provedení stavby – Modernizace zemědělského areálu Školního statku Středočeského kraje Poděbrady“</w:t>
      </w:r>
      <w:r w:rsidR="0092651F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3A782E9B" w14:textId="77777777" w:rsidR="00A23004" w:rsidRDefault="00A23004" w:rsidP="005000F5">
      <w:pPr>
        <w:pStyle w:val="AKFZFnormln"/>
        <w:spacing w:line="276" w:lineRule="auto"/>
        <w:rPr>
          <w:rFonts w:cs="Arial"/>
        </w:rPr>
      </w:pPr>
    </w:p>
    <w:p w14:paraId="0071A331" w14:textId="448842D1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E736E1">
        <w:rPr>
          <w:rFonts w:cs="Arial"/>
        </w:rPr>
        <w:t>Školní statek Středočeského kraje,p.o.</w:t>
      </w:r>
    </w:p>
    <w:p w14:paraId="69307634" w14:textId="442A0B7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736E1">
        <w:rPr>
          <w:rFonts w:cs="Arial"/>
          <w:bCs/>
        </w:rPr>
        <w:t>72081368</w:t>
      </w:r>
    </w:p>
    <w:p w14:paraId="3844FF92" w14:textId="5FB46AB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E736E1">
        <w:rPr>
          <w:rFonts w:cs="Arial"/>
          <w:bCs/>
        </w:rPr>
        <w:t>Hlavní 169, Lázně Toušeň</w:t>
      </w:r>
      <w:r w:rsidR="00A81D7E">
        <w:rPr>
          <w:rFonts w:cs="Arial"/>
          <w:bCs/>
        </w:rPr>
        <w:t xml:space="preserve"> 250 89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A627" w14:textId="77777777" w:rsidR="00513EDA" w:rsidRDefault="00513EDA" w:rsidP="00F94DD5">
      <w:pPr>
        <w:spacing w:after="0" w:line="240" w:lineRule="auto"/>
      </w:pPr>
      <w:r>
        <w:separator/>
      </w:r>
    </w:p>
  </w:endnote>
  <w:endnote w:type="continuationSeparator" w:id="0">
    <w:p w14:paraId="51AEAC89" w14:textId="77777777" w:rsidR="00513EDA" w:rsidRDefault="00513EDA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6E1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BDEA" w14:textId="77777777" w:rsidR="00513EDA" w:rsidRDefault="00513EDA" w:rsidP="00F94DD5">
      <w:pPr>
        <w:spacing w:after="0" w:line="240" w:lineRule="auto"/>
      </w:pPr>
      <w:r>
        <w:separator/>
      </w:r>
    </w:p>
  </w:footnote>
  <w:footnote w:type="continuationSeparator" w:id="0">
    <w:p w14:paraId="43D9D681" w14:textId="77777777" w:rsidR="00513EDA" w:rsidRDefault="00513EDA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2521">
    <w:abstractNumId w:val="3"/>
  </w:num>
  <w:num w:numId="2" w16cid:durableId="1084834662">
    <w:abstractNumId w:val="1"/>
  </w:num>
  <w:num w:numId="3" w16cid:durableId="40322492">
    <w:abstractNumId w:val="0"/>
  </w:num>
  <w:num w:numId="4" w16cid:durableId="156941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5"/>
    <w:rsid w:val="00034831"/>
    <w:rsid w:val="00045E48"/>
    <w:rsid w:val="00045FAC"/>
    <w:rsid w:val="0004710A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31FEF"/>
    <w:rsid w:val="00180A8E"/>
    <w:rsid w:val="00184D70"/>
    <w:rsid w:val="00190262"/>
    <w:rsid w:val="00195741"/>
    <w:rsid w:val="00196C8D"/>
    <w:rsid w:val="001B3308"/>
    <w:rsid w:val="001B5B54"/>
    <w:rsid w:val="00204034"/>
    <w:rsid w:val="00246A4B"/>
    <w:rsid w:val="00254EC2"/>
    <w:rsid w:val="00266E7A"/>
    <w:rsid w:val="002C2FDD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13EDA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24D6"/>
    <w:rsid w:val="0068764F"/>
    <w:rsid w:val="006B4480"/>
    <w:rsid w:val="006D060F"/>
    <w:rsid w:val="006F7520"/>
    <w:rsid w:val="00702BC3"/>
    <w:rsid w:val="0071264B"/>
    <w:rsid w:val="0073044D"/>
    <w:rsid w:val="0073151E"/>
    <w:rsid w:val="00791848"/>
    <w:rsid w:val="007B62D5"/>
    <w:rsid w:val="007C6898"/>
    <w:rsid w:val="007D6A8F"/>
    <w:rsid w:val="007D75DE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2651F"/>
    <w:rsid w:val="009310B4"/>
    <w:rsid w:val="009437D4"/>
    <w:rsid w:val="00970753"/>
    <w:rsid w:val="009761CE"/>
    <w:rsid w:val="00980C4C"/>
    <w:rsid w:val="00990F11"/>
    <w:rsid w:val="009C1DC8"/>
    <w:rsid w:val="009C24AE"/>
    <w:rsid w:val="009D4B66"/>
    <w:rsid w:val="00A23004"/>
    <w:rsid w:val="00A5730A"/>
    <w:rsid w:val="00A7731B"/>
    <w:rsid w:val="00A81D7E"/>
    <w:rsid w:val="00B20672"/>
    <w:rsid w:val="00B505CF"/>
    <w:rsid w:val="00B7303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97999"/>
    <w:rsid w:val="00CB4B09"/>
    <w:rsid w:val="00CD194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1228"/>
    <w:rsid w:val="00D94DE8"/>
    <w:rsid w:val="00DA170A"/>
    <w:rsid w:val="00DE1563"/>
    <w:rsid w:val="00DE1F6D"/>
    <w:rsid w:val="00E0674C"/>
    <w:rsid w:val="00E12C74"/>
    <w:rsid w:val="00E42FAC"/>
    <w:rsid w:val="00E46377"/>
    <w:rsid w:val="00E736E1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13CF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D079-11CE-4F70-9B2C-B33E61D9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2025-10-27T14:53:00Z</dcterms:created>
  <dcterms:modified xsi:type="dcterms:W3CDTF">2025-11-11T07:25:00Z</dcterms:modified>
</cp:coreProperties>
</file>