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6814AC4F" w14:textId="7C233407" w:rsidR="00DB29D1" w:rsidRPr="00DB29D1" w:rsidRDefault="00032493" w:rsidP="00DB29D1">
      <w:pPr>
        <w:autoSpaceDE w:val="0"/>
        <w:spacing w:line="280" w:lineRule="atLeast"/>
        <w:jc w:val="center"/>
        <w:rPr>
          <w:rFonts w:ascii="Arial" w:hAnsi="Arial" w:cs="Arial"/>
          <w:sz w:val="22"/>
          <w:szCs w:val="22"/>
        </w:rPr>
      </w:pPr>
      <w:r>
        <w:rPr>
          <w:rFonts w:ascii="Arial" w:hAnsi="Arial" w:cs="Arial"/>
          <w:sz w:val="22"/>
          <w:szCs w:val="22"/>
        </w:rPr>
        <w:t>číslo objednatele</w:t>
      </w:r>
      <w:r w:rsidR="00FD2C09">
        <w:rPr>
          <w:rFonts w:ascii="Arial" w:hAnsi="Arial" w:cs="Arial"/>
          <w:sz w:val="22"/>
          <w:szCs w:val="22"/>
        </w:rPr>
        <w:t>: ……</w:t>
      </w:r>
      <w:r w:rsidR="002279DD">
        <w:rPr>
          <w:rFonts w:ascii="Arial" w:hAnsi="Arial" w:cs="Arial"/>
          <w:sz w:val="22"/>
          <w:szCs w:val="22"/>
        </w:rPr>
        <w:t>…</w:t>
      </w:r>
      <w:r w:rsidR="00DB29D1">
        <w:rPr>
          <w:rFonts w:ascii="Arial" w:hAnsi="Arial" w:cs="Arial"/>
          <w:sz w:val="22"/>
          <w:szCs w:val="22"/>
        </w:rPr>
        <w:t>………</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7CD23AA5" w14:textId="77777777" w:rsidR="002279DD" w:rsidRPr="002279DD" w:rsidRDefault="002279DD" w:rsidP="002279DD">
      <w:pPr>
        <w:autoSpaceDE w:val="0"/>
        <w:ind w:left="360"/>
        <w:jc w:val="center"/>
        <w:rPr>
          <w:rFonts w:ascii="Arial" w:hAnsi="Arial" w:cs="Arial"/>
          <w:b/>
          <w:bCs/>
          <w:sz w:val="28"/>
          <w:szCs w:val="22"/>
        </w:rPr>
      </w:pPr>
    </w:p>
    <w:p w14:paraId="566F9EE0" w14:textId="2B4E043C" w:rsidR="00FD2C09" w:rsidRPr="00831B1A" w:rsidRDefault="002279DD" w:rsidP="002279DD">
      <w:pPr>
        <w:autoSpaceDE w:val="0"/>
        <w:ind w:left="360"/>
        <w:jc w:val="center"/>
        <w:rPr>
          <w:rFonts w:ascii="Arial" w:hAnsi="Arial" w:cs="Arial"/>
          <w:b/>
          <w:bCs/>
          <w:sz w:val="28"/>
          <w:szCs w:val="22"/>
        </w:rPr>
      </w:pPr>
      <w:r w:rsidRPr="00831B1A">
        <w:rPr>
          <w:rFonts w:ascii="Arial" w:hAnsi="Arial" w:cs="Arial"/>
          <w:b/>
          <w:bCs/>
          <w:sz w:val="28"/>
          <w:szCs w:val="22"/>
        </w:rPr>
        <w:t>„</w:t>
      </w:r>
      <w:r w:rsidR="00831B1A" w:rsidRPr="00831B1A">
        <w:rPr>
          <w:rFonts w:ascii="Arial" w:hAnsi="Arial" w:cs="Arial"/>
          <w:b/>
          <w:sz w:val="28"/>
        </w:rPr>
        <w:t>Výměna oken za účelem snížení energetické náročnosti budovy</w:t>
      </w:r>
      <w:r w:rsidRPr="00831B1A">
        <w:rPr>
          <w:rFonts w:ascii="Arial" w:hAnsi="Arial" w:cs="Arial"/>
          <w:b/>
          <w:bCs/>
          <w:sz w:val="28"/>
          <w:szCs w:val="22"/>
        </w:rPr>
        <w:t>“</w:t>
      </w:r>
    </w:p>
    <w:p w14:paraId="133E3BA6" w14:textId="77777777" w:rsidR="002279DD" w:rsidRDefault="002279DD" w:rsidP="002279DD">
      <w:pPr>
        <w:autoSpaceDE w:val="0"/>
        <w:ind w:left="360"/>
        <w:jc w:val="center"/>
        <w:rPr>
          <w:rFonts w:ascii="Arial" w:hAnsi="Arial" w:cs="Arial"/>
          <w:b/>
          <w:bCs/>
          <w:sz w:val="28"/>
          <w:szCs w:val="22"/>
        </w:rPr>
      </w:pP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9E25C58" w14:textId="1490EC13" w:rsidR="002279DD" w:rsidRPr="00B4128B" w:rsidRDefault="002279DD" w:rsidP="002279DD">
      <w:pPr>
        <w:autoSpaceDE w:val="0"/>
        <w:spacing w:line="276" w:lineRule="auto"/>
        <w:rPr>
          <w:rFonts w:ascii="Arial" w:hAnsi="Arial" w:cs="Arial"/>
          <w:b/>
          <w:bCs/>
          <w:sz w:val="22"/>
          <w:szCs w:val="22"/>
        </w:rPr>
      </w:pPr>
      <w:r w:rsidRPr="00B4128B">
        <w:rPr>
          <w:rFonts w:ascii="Arial" w:hAnsi="Arial" w:cs="Arial"/>
          <w:sz w:val="22"/>
          <w:szCs w:val="22"/>
        </w:rPr>
        <w:t>Objednatel:</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b/>
          <w:sz w:val="22"/>
          <w:szCs w:val="22"/>
        </w:rPr>
        <w:t>Oblastní muzeum Praha-východ, příspěvková organizace</w:t>
      </w:r>
    </w:p>
    <w:p w14:paraId="7B23BD89" w14:textId="77777777" w:rsid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Sídlo:</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Masarykovo náměstí 97, 250 01 Brandýs nad Labem</w:t>
      </w:r>
    </w:p>
    <w:p w14:paraId="427CB545" w14:textId="02E4FAAB" w:rsidR="00B4128B" w:rsidRP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Zastoupený:</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Ing. Vlastislav</w:t>
      </w:r>
      <w:r w:rsidR="00B4128B">
        <w:rPr>
          <w:rFonts w:ascii="Arial" w:hAnsi="Arial" w:cs="Arial"/>
          <w:sz w:val="22"/>
          <w:szCs w:val="22"/>
        </w:rPr>
        <w:t>em</w:t>
      </w:r>
      <w:r w:rsidR="00B4128B" w:rsidRPr="00B4128B">
        <w:rPr>
          <w:rFonts w:ascii="Arial" w:hAnsi="Arial" w:cs="Arial"/>
          <w:sz w:val="22"/>
          <w:szCs w:val="22"/>
        </w:rPr>
        <w:t xml:space="preserve"> Janík</w:t>
      </w:r>
      <w:r w:rsidR="00B4128B">
        <w:rPr>
          <w:rFonts w:ascii="Arial" w:hAnsi="Arial" w:cs="Arial"/>
          <w:sz w:val="22"/>
          <w:szCs w:val="22"/>
        </w:rPr>
        <w:t>em</w:t>
      </w:r>
      <w:r w:rsidR="00B4128B" w:rsidRPr="00B4128B">
        <w:rPr>
          <w:rFonts w:ascii="Arial" w:hAnsi="Arial" w:cs="Arial"/>
          <w:sz w:val="22"/>
          <w:szCs w:val="22"/>
        </w:rPr>
        <w:t>, ředitel PO</w:t>
      </w:r>
    </w:p>
    <w:p w14:paraId="226EB7B5" w14:textId="6E75B7D2" w:rsidR="002279DD" w:rsidRPr="00B4128B" w:rsidRDefault="002279DD" w:rsidP="002279DD">
      <w:pPr>
        <w:autoSpaceDE w:val="0"/>
        <w:autoSpaceDN w:val="0"/>
        <w:adjustRightInd w:val="0"/>
        <w:spacing w:line="276" w:lineRule="auto"/>
        <w:rPr>
          <w:rFonts w:ascii="Arial" w:hAnsi="Arial" w:cs="Arial"/>
          <w:sz w:val="22"/>
          <w:szCs w:val="22"/>
        </w:rPr>
      </w:pPr>
      <w:r w:rsidRPr="00B4128B">
        <w:rPr>
          <w:rFonts w:ascii="Arial" w:hAnsi="Arial" w:cs="Arial"/>
          <w:sz w:val="22"/>
          <w:szCs w:val="22"/>
        </w:rPr>
        <w:t xml:space="preserve">IČ: </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Style w:val="platne1"/>
          <w:rFonts w:ascii="Arial" w:hAnsi="Arial" w:cs="Arial"/>
          <w:sz w:val="22"/>
          <w:szCs w:val="22"/>
        </w:rPr>
        <w:t>00067539</w:t>
      </w:r>
      <w:r w:rsidRPr="00B4128B">
        <w:rPr>
          <w:rFonts w:ascii="Arial" w:hAnsi="Arial" w:cs="Arial"/>
          <w:sz w:val="22"/>
          <w:szCs w:val="22"/>
        </w:rPr>
        <w:t xml:space="preserve">         </w:t>
      </w:r>
      <w:r w:rsidRPr="00B4128B">
        <w:rPr>
          <w:rFonts w:ascii="Arial" w:hAnsi="Arial" w:cs="Arial"/>
          <w:sz w:val="22"/>
          <w:szCs w:val="22"/>
        </w:rPr>
        <w:tab/>
      </w:r>
      <w:r w:rsidRPr="00B4128B">
        <w:rPr>
          <w:rFonts w:ascii="Arial" w:hAnsi="Arial" w:cs="Arial"/>
          <w:sz w:val="22"/>
          <w:szCs w:val="22"/>
        </w:rPr>
        <w:tab/>
        <w:t xml:space="preserve"> </w:t>
      </w:r>
    </w:p>
    <w:p w14:paraId="1B28BCE7" w14:textId="77777777" w:rsidR="00B4128B" w:rsidRDefault="002279DD" w:rsidP="00B4128B">
      <w:pPr>
        <w:spacing w:line="276" w:lineRule="auto"/>
        <w:rPr>
          <w:rFonts w:ascii="Arial" w:hAnsi="Arial" w:cs="Arial"/>
          <w:sz w:val="22"/>
          <w:szCs w:val="22"/>
        </w:rPr>
      </w:pPr>
      <w:r w:rsidRPr="00B4128B">
        <w:rPr>
          <w:rFonts w:ascii="Arial" w:hAnsi="Arial" w:cs="Arial"/>
          <w:bCs/>
          <w:sz w:val="22"/>
          <w:szCs w:val="22"/>
        </w:rPr>
        <w:t>Bankovní spojení:</w:t>
      </w:r>
      <w:r w:rsidRPr="00B4128B">
        <w:rPr>
          <w:rFonts w:ascii="Arial" w:hAnsi="Arial" w:cs="Arial"/>
          <w:sz w:val="22"/>
          <w:szCs w:val="22"/>
        </w:rPr>
        <w:t xml:space="preserve"> </w:t>
      </w:r>
      <w:r w:rsidRPr="00B4128B">
        <w:rPr>
          <w:rFonts w:ascii="Arial" w:hAnsi="Arial" w:cs="Arial"/>
          <w:sz w:val="22"/>
          <w:szCs w:val="22"/>
        </w:rPr>
        <w:tab/>
        <w:t>Komerční banka, a.s.</w:t>
      </w:r>
    </w:p>
    <w:p w14:paraId="18BC8485" w14:textId="06E85C47" w:rsidR="00B4128B" w:rsidRPr="00B4128B" w:rsidRDefault="002279DD" w:rsidP="00B4128B">
      <w:pPr>
        <w:spacing w:line="276" w:lineRule="auto"/>
        <w:rPr>
          <w:rFonts w:ascii="Arial" w:hAnsi="Arial" w:cs="Arial"/>
          <w:sz w:val="22"/>
          <w:szCs w:val="22"/>
          <w:lang w:eastAsia="en-US"/>
        </w:rPr>
      </w:pPr>
      <w:r w:rsidRPr="00B4128B">
        <w:rPr>
          <w:rFonts w:ascii="Arial" w:hAnsi="Arial" w:cs="Arial"/>
          <w:sz w:val="22"/>
          <w:szCs w:val="22"/>
        </w:rPr>
        <w:t>Číslo účtu:</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2236201/0100</w:t>
      </w:r>
    </w:p>
    <w:p w14:paraId="31131D2B" w14:textId="13349DE3" w:rsidR="002279DD" w:rsidRDefault="002279DD" w:rsidP="002279DD">
      <w:pPr>
        <w:spacing w:line="276" w:lineRule="auto"/>
        <w:rPr>
          <w:rFonts w:ascii="Arial" w:hAnsi="Arial" w:cs="Arial"/>
          <w:sz w:val="22"/>
          <w:szCs w:val="22"/>
        </w:rPr>
      </w:pPr>
    </w:p>
    <w:p w14:paraId="4552BC8F" w14:textId="77777777" w:rsidR="002279DD" w:rsidRPr="003777D1" w:rsidRDefault="002279DD" w:rsidP="002279DD">
      <w:pPr>
        <w:spacing w:line="276" w:lineRule="auto"/>
        <w:rPr>
          <w:rFonts w:ascii="Arial" w:hAnsi="Arial" w:cs="Arial"/>
          <w:b/>
          <w:bCs/>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026B5CDD" w14:textId="77777777" w:rsidR="00B4128B" w:rsidRDefault="00B4128B">
      <w:pPr>
        <w:rPr>
          <w:rFonts w:ascii="Arial" w:hAnsi="Arial" w:cs="Arial"/>
          <w:bCs/>
          <w:sz w:val="22"/>
          <w:szCs w:val="22"/>
        </w:rPr>
      </w:pPr>
    </w:p>
    <w:p w14:paraId="50ECB4C7" w14:textId="257130D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proofErr w:type="gramStart"/>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w:t>
      </w:r>
      <w:proofErr w:type="gramStart"/>
      <w:r w:rsidRPr="00746FCA">
        <w:rPr>
          <w:rFonts w:ascii="Arial" w:hAnsi="Arial" w:cs="Arial"/>
          <w:sz w:val="22"/>
          <w:szCs w:val="22"/>
        </w:rPr>
        <w:t xml:space="preserve">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xml:space="preserve">:   </w:t>
      </w:r>
      <w:proofErr w:type="gramEnd"/>
      <w:r w:rsidRPr="00746FCA">
        <w:rPr>
          <w:rFonts w:ascii="Arial" w:hAnsi="Arial" w:cs="Arial"/>
          <w:sz w:val="22"/>
          <w:szCs w:val="22"/>
          <w:shd w:val="clear" w:color="auto" w:fill="FFFF00"/>
        </w:rPr>
        <w:t xml:space="preserve"> ………………</w:t>
      </w:r>
      <w:r w:rsidRPr="00746FCA">
        <w:rPr>
          <w:rFonts w:ascii="Arial" w:hAnsi="Arial" w:cs="Arial"/>
          <w:sz w:val="22"/>
          <w:szCs w:val="22"/>
        </w:rPr>
        <w:t xml:space="preserve"> </w:t>
      </w:r>
      <w:proofErr w:type="gramStart"/>
      <w:r w:rsidRPr="00746FCA">
        <w:rPr>
          <w:rFonts w:ascii="Arial" w:hAnsi="Arial" w:cs="Arial"/>
          <w:sz w:val="22"/>
          <w:szCs w:val="22"/>
        </w:rPr>
        <w:t xml:space="preserve">DIČ: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proofErr w:type="gramStart"/>
      <w:r w:rsidRPr="005A5E91">
        <w:rPr>
          <w:rFonts w:ascii="Arial" w:hAnsi="Arial" w:cs="Arial"/>
          <w:sz w:val="22"/>
          <w:szCs w:val="22"/>
        </w:rPr>
        <w:t>subjektem</w:t>
      </w:r>
      <w:r w:rsidRPr="005A5E91">
        <w:rPr>
          <w:rFonts w:ascii="Arial" w:hAnsi="Arial" w:cs="Arial"/>
          <w:sz w:val="22"/>
          <w:szCs w:val="22"/>
          <w:vertAlign w:val="superscript"/>
        </w:rPr>
        <w:footnoteReference w:customMarkFollows="1" w:id="2"/>
        <w:t>[</w:t>
      </w:r>
      <w:proofErr w:type="gramEnd"/>
      <w:r w:rsidRPr="005A5E91">
        <w:rPr>
          <w:rFonts w:ascii="Arial" w:hAnsi="Arial" w:cs="Arial"/>
          <w:sz w:val="22"/>
          <w:szCs w:val="22"/>
          <w:vertAlign w:val="superscript"/>
        </w:rPr>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0E641AAD" w14:textId="17F4BD09" w:rsidR="00274C71" w:rsidRDefault="00274C71" w:rsidP="00274C71">
      <w:pPr>
        <w:tabs>
          <w:tab w:val="left" w:pos="5070"/>
        </w:tabs>
        <w:autoSpaceDE w:val="0"/>
        <w:jc w:val="center"/>
        <w:rPr>
          <w:rFonts w:ascii="Arial" w:hAnsi="Arial" w:cs="Arial"/>
          <w:b/>
          <w:sz w:val="22"/>
          <w:szCs w:val="22"/>
        </w:rPr>
      </w:pPr>
    </w:p>
    <w:p w14:paraId="2304C02A" w14:textId="084CC016" w:rsidR="00FF5ABF" w:rsidRDefault="00FF5ABF" w:rsidP="00274C71">
      <w:pPr>
        <w:tabs>
          <w:tab w:val="left" w:pos="5070"/>
        </w:tabs>
        <w:autoSpaceDE w:val="0"/>
        <w:jc w:val="center"/>
        <w:rPr>
          <w:rFonts w:ascii="Arial" w:hAnsi="Arial" w:cs="Arial"/>
          <w:b/>
          <w:sz w:val="22"/>
          <w:szCs w:val="22"/>
        </w:rPr>
      </w:pPr>
    </w:p>
    <w:p w14:paraId="0371C1A5" w14:textId="1488CED4" w:rsidR="00FF5ABF" w:rsidRDefault="00FF5ABF" w:rsidP="00274C71">
      <w:pPr>
        <w:tabs>
          <w:tab w:val="left" w:pos="5070"/>
        </w:tabs>
        <w:autoSpaceDE w:val="0"/>
        <w:jc w:val="center"/>
        <w:rPr>
          <w:rFonts w:ascii="Arial" w:hAnsi="Arial" w:cs="Arial"/>
          <w:b/>
          <w:sz w:val="22"/>
          <w:szCs w:val="22"/>
        </w:rPr>
      </w:pP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306A8A8F" w:rsidR="006574A5" w:rsidRPr="007D4E73" w:rsidRDefault="0087231C" w:rsidP="006118A4">
      <w:pPr>
        <w:widowControl/>
        <w:numPr>
          <w:ilvl w:val="1"/>
          <w:numId w:val="3"/>
        </w:numPr>
        <w:tabs>
          <w:tab w:val="left" w:pos="-180"/>
        </w:tabs>
        <w:spacing w:line="360" w:lineRule="auto"/>
        <w:textAlignment w:val="auto"/>
        <w:rPr>
          <w:rFonts w:ascii="Arial" w:hAnsi="Arial"/>
          <w:sz w:val="22"/>
          <w:szCs w:val="22"/>
          <w:highlight w:val="green"/>
        </w:rPr>
      </w:pPr>
      <w:bookmarkStart w:id="1" w:name="_Hlk76029435"/>
      <w:r w:rsidRPr="00504B5D">
        <w:rPr>
          <w:rFonts w:ascii="Arial" w:hAnsi="Arial" w:cs="Arial"/>
          <w:sz w:val="22"/>
          <w:szCs w:val="22"/>
        </w:rPr>
        <w:t>Dodavatel</w:t>
      </w:r>
      <w:r w:rsidR="006574A5" w:rsidRPr="00504B5D">
        <w:rPr>
          <w:rFonts w:ascii="Arial" w:hAnsi="Arial" w:cs="Arial"/>
          <w:sz w:val="22"/>
          <w:szCs w:val="22"/>
        </w:rPr>
        <w:t xml:space="preserve"> se </w:t>
      </w:r>
      <w:r w:rsidR="008E72C0" w:rsidRPr="00504B5D">
        <w:rPr>
          <w:rFonts w:ascii="Arial" w:hAnsi="Arial"/>
          <w:sz w:val="22"/>
          <w:szCs w:val="22"/>
        </w:rPr>
        <w:t xml:space="preserve">zavazuje k provedení </w:t>
      </w:r>
      <w:proofErr w:type="gramStart"/>
      <w:r w:rsidR="008E72C0" w:rsidRPr="00504B5D">
        <w:rPr>
          <w:rFonts w:ascii="Arial" w:hAnsi="Arial"/>
          <w:sz w:val="22"/>
          <w:szCs w:val="22"/>
        </w:rPr>
        <w:t>díla - stavby</w:t>
      </w:r>
      <w:proofErr w:type="gramEnd"/>
      <w:r w:rsidR="008E72C0" w:rsidRPr="00504B5D">
        <w:rPr>
          <w:rFonts w:ascii="Arial" w:hAnsi="Arial"/>
          <w:sz w:val="22"/>
          <w:szCs w:val="22"/>
        </w:rPr>
        <w:t xml:space="preserve"> </w:t>
      </w:r>
      <w:r w:rsidR="002279DD" w:rsidRPr="00504B5D">
        <w:rPr>
          <w:rFonts w:ascii="Arial" w:hAnsi="Arial" w:cs="Arial"/>
          <w:b/>
        </w:rPr>
        <w:t>„</w:t>
      </w:r>
      <w:r w:rsidR="00831B1A" w:rsidRPr="00504B5D">
        <w:rPr>
          <w:rFonts w:ascii="Arial" w:hAnsi="Arial" w:cs="Arial"/>
          <w:b/>
          <w:sz w:val="22"/>
          <w:szCs w:val="22"/>
        </w:rPr>
        <w:t>Výměna oken za účelem snížení energetické náročnosti budovy</w:t>
      </w:r>
      <w:r w:rsidR="002279DD" w:rsidRPr="00504B5D">
        <w:rPr>
          <w:rFonts w:ascii="Arial" w:hAnsi="Arial" w:cs="Arial"/>
          <w:b/>
        </w:rPr>
        <w:t xml:space="preserve">“ </w:t>
      </w:r>
      <w:r w:rsidR="008E72C0" w:rsidRPr="00504B5D">
        <w:rPr>
          <w:rFonts w:ascii="Arial" w:hAnsi="Arial"/>
          <w:sz w:val="22"/>
          <w:szCs w:val="22"/>
        </w:rPr>
        <w:t>podle prováděcí projektové dokumentace</w:t>
      </w:r>
      <w:r w:rsidR="00D71E00" w:rsidRPr="00504B5D">
        <w:rPr>
          <w:rFonts w:ascii="Arial" w:hAnsi="Arial"/>
          <w:sz w:val="22"/>
          <w:szCs w:val="22"/>
        </w:rPr>
        <w:t xml:space="preserve"> pro provádění stavby</w:t>
      </w:r>
      <w:r w:rsidR="008E72C0" w:rsidRPr="00504B5D">
        <w:rPr>
          <w:rFonts w:ascii="Arial" w:hAnsi="Arial"/>
          <w:sz w:val="22"/>
          <w:szCs w:val="22"/>
        </w:rPr>
        <w:t xml:space="preserve"> vč. výkazu výměr</w:t>
      </w:r>
      <w:r w:rsidR="008E72C0" w:rsidRPr="00C522FA">
        <w:rPr>
          <w:rFonts w:ascii="Arial" w:hAnsi="Arial"/>
          <w:sz w:val="22"/>
          <w:szCs w:val="22"/>
        </w:rPr>
        <w:t>, kterou vypracoval</w:t>
      </w:r>
      <w:r w:rsidR="00831B1A">
        <w:rPr>
          <w:rFonts w:ascii="Arial" w:hAnsi="Arial"/>
          <w:sz w:val="22"/>
          <w:szCs w:val="22"/>
        </w:rPr>
        <w:t xml:space="preserve">a firma </w:t>
      </w:r>
      <w:proofErr w:type="spellStart"/>
      <w:r w:rsidR="00831B1A">
        <w:rPr>
          <w:rFonts w:ascii="Arial" w:hAnsi="Arial"/>
          <w:sz w:val="22"/>
          <w:szCs w:val="22"/>
        </w:rPr>
        <w:t>Saffron</w:t>
      </w:r>
      <w:proofErr w:type="spellEnd"/>
      <w:r w:rsidR="00831B1A">
        <w:rPr>
          <w:rFonts w:ascii="Arial" w:hAnsi="Arial"/>
          <w:sz w:val="22"/>
          <w:szCs w:val="22"/>
        </w:rPr>
        <w:t xml:space="preserve"> </w:t>
      </w:r>
      <w:proofErr w:type="spellStart"/>
      <w:r w:rsidR="00831B1A">
        <w:rPr>
          <w:rFonts w:ascii="Arial" w:hAnsi="Arial"/>
          <w:sz w:val="22"/>
          <w:szCs w:val="22"/>
        </w:rPr>
        <w:t>Universe</w:t>
      </w:r>
      <w:proofErr w:type="spellEnd"/>
      <w:r w:rsidR="00831B1A">
        <w:rPr>
          <w:rFonts w:ascii="Arial" w:hAnsi="Arial"/>
          <w:sz w:val="22"/>
          <w:szCs w:val="22"/>
        </w:rPr>
        <w:t xml:space="preserve"> s.r.o.</w:t>
      </w:r>
      <w:r w:rsidR="00F61AA5">
        <w:rPr>
          <w:rFonts w:ascii="Arial" w:hAnsi="Arial"/>
          <w:sz w:val="22"/>
          <w:szCs w:val="22"/>
        </w:rPr>
        <w:t xml:space="preserve">, IČO: </w:t>
      </w:r>
      <w:r w:rsidR="00831B1A" w:rsidRPr="00831B1A">
        <w:rPr>
          <w:rFonts w:ascii="Arial" w:hAnsi="Arial"/>
          <w:sz w:val="22"/>
          <w:szCs w:val="22"/>
        </w:rPr>
        <w:t>03595269</w:t>
      </w:r>
      <w:r w:rsidR="00E51893" w:rsidRPr="006118A4">
        <w:rPr>
          <w:rFonts w:ascii="Arial" w:hAnsi="Arial"/>
          <w:sz w:val="22"/>
          <w:szCs w:val="22"/>
        </w:rPr>
        <w:t>,</w:t>
      </w:r>
      <w:r w:rsidR="008E72C0" w:rsidRPr="006118A4">
        <w:rPr>
          <w:rFonts w:ascii="Arial" w:hAnsi="Arial"/>
          <w:sz w:val="22"/>
          <w:szCs w:val="22"/>
        </w:rPr>
        <w:t xml:space="preserve"> </w:t>
      </w:r>
      <w:r w:rsidR="008E72C0" w:rsidRPr="006118A4">
        <w:rPr>
          <w:rFonts w:ascii="Arial" w:hAnsi="Arial"/>
          <w:sz w:val="22"/>
          <w:szCs w:val="22"/>
        </w:rPr>
        <w:lastRenderedPageBreak/>
        <w:t xml:space="preserve">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504B5D">
        <w:rPr>
          <w:rFonts w:ascii="Arial" w:hAnsi="Arial"/>
          <w:sz w:val="22"/>
          <w:szCs w:val="22"/>
        </w:rPr>
        <w:t>S</w:t>
      </w:r>
      <w:r w:rsidR="006574A5" w:rsidRPr="00504B5D">
        <w:rPr>
          <w:rFonts w:ascii="Arial" w:hAnsi="Arial"/>
          <w:sz w:val="22"/>
          <w:szCs w:val="22"/>
        </w:rPr>
        <w:t>mlouvy</w:t>
      </w:r>
      <w:r w:rsidR="006574A5" w:rsidRPr="00504B5D">
        <w:rPr>
          <w:rFonts w:ascii="Arial" w:hAnsi="Arial" w:cs="Arial"/>
          <w:sz w:val="22"/>
          <w:szCs w:val="22"/>
        </w:rPr>
        <w:t xml:space="preserve"> a byl součástí nabídky </w:t>
      </w:r>
      <w:r w:rsidRPr="00504B5D">
        <w:rPr>
          <w:rFonts w:ascii="Arial" w:hAnsi="Arial" w:cs="Arial"/>
          <w:sz w:val="22"/>
          <w:szCs w:val="22"/>
        </w:rPr>
        <w:t>dodavatele</w:t>
      </w:r>
      <w:r w:rsidR="006574A5" w:rsidRPr="00504B5D">
        <w:rPr>
          <w:rFonts w:ascii="Arial" w:hAnsi="Arial" w:cs="Arial"/>
          <w:sz w:val="22"/>
          <w:szCs w:val="22"/>
        </w:rPr>
        <w:t xml:space="preserve"> podané v rámci zadávacího řízení na výběr </w:t>
      </w:r>
      <w:r w:rsidRPr="00504B5D">
        <w:rPr>
          <w:rFonts w:ascii="Arial" w:hAnsi="Arial" w:cs="Arial"/>
          <w:sz w:val="22"/>
          <w:szCs w:val="22"/>
        </w:rPr>
        <w:t>dodavatele</w:t>
      </w:r>
      <w:r w:rsidR="006574A5" w:rsidRPr="00504B5D">
        <w:rPr>
          <w:rFonts w:ascii="Arial" w:hAnsi="Arial" w:cs="Arial"/>
          <w:sz w:val="22"/>
          <w:szCs w:val="22"/>
        </w:rPr>
        <w:t xml:space="preserve"> předmětu díla.</w:t>
      </w:r>
      <w:r w:rsidR="008B07D3" w:rsidRPr="00504B5D">
        <w:rPr>
          <w:rFonts w:ascii="Arial" w:hAnsi="Arial" w:cs="Arial"/>
          <w:sz w:val="22"/>
          <w:szCs w:val="22"/>
        </w:rPr>
        <w:t xml:space="preserve"> </w:t>
      </w:r>
      <w:r w:rsidR="007D4E73" w:rsidRPr="00504B5D">
        <w:rPr>
          <w:rFonts w:ascii="Arial" w:hAnsi="Arial" w:cs="Arial"/>
          <w:sz w:val="22"/>
          <w:szCs w:val="22"/>
        </w:rPr>
        <w:t xml:space="preserve">Dodavatel bere na vědomí, že projektová dokumentace byla vypracována jako celek pro obnovu pláště budovy a použije jen části týkající se výměny oken. </w:t>
      </w:r>
      <w:r w:rsidR="008B07D3" w:rsidRPr="00504B5D">
        <w:rPr>
          <w:rFonts w:ascii="Arial" w:hAnsi="Arial" w:cs="Arial"/>
          <w:sz w:val="22"/>
          <w:szCs w:val="22"/>
        </w:rPr>
        <w:t>Součástí provedení díla je i vypracování nezbytné výrobní a dílenské dokumentace</w:t>
      </w:r>
      <w:r w:rsidR="00831B1A" w:rsidRPr="00504B5D">
        <w:rPr>
          <w:rFonts w:ascii="Arial" w:hAnsi="Arial" w:cs="Arial"/>
          <w:sz w:val="22"/>
          <w:szCs w:val="22"/>
        </w:rPr>
        <w:t>, výroba oken, demontáž a likvidace stávajících oken a dodávka a montáž nových oken za běžného provozu budovy</w:t>
      </w:r>
      <w:r w:rsidR="006574A5" w:rsidRPr="00504B5D">
        <w:rPr>
          <w:rFonts w:ascii="Arial" w:hAnsi="Arial" w:cs="Arial"/>
          <w:sz w:val="22"/>
          <w:szCs w:val="22"/>
        </w:rPr>
        <w:t>.</w:t>
      </w:r>
    </w:p>
    <w:p w14:paraId="34F667D2" w14:textId="77777777" w:rsidR="00293711" w:rsidRPr="00831B1A" w:rsidRDefault="00293711" w:rsidP="00293711">
      <w:pPr>
        <w:widowControl/>
        <w:tabs>
          <w:tab w:val="left" w:pos="-180"/>
        </w:tabs>
        <w:spacing w:line="360" w:lineRule="auto"/>
        <w:ind w:left="450"/>
        <w:textAlignment w:val="auto"/>
        <w:rPr>
          <w:rFonts w:ascii="Arial" w:hAnsi="Arial" w:cs="Arial"/>
          <w:sz w:val="22"/>
          <w:szCs w:val="22"/>
        </w:rPr>
      </w:pPr>
    </w:p>
    <w:p w14:paraId="3E63B1A0" w14:textId="0790C923"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31B1A">
        <w:rPr>
          <w:rFonts w:ascii="Arial" w:hAnsi="Arial" w:cs="Arial"/>
          <w:sz w:val="22"/>
          <w:szCs w:val="22"/>
        </w:rPr>
        <w:t xml:space="preserve">Místem plnění </w:t>
      </w:r>
      <w:r w:rsidR="004B5F4D" w:rsidRPr="00831B1A">
        <w:rPr>
          <w:rFonts w:ascii="Arial" w:eastAsia="Calibri" w:hAnsi="Arial" w:cs="Arial"/>
          <w:sz w:val="22"/>
          <w:szCs w:val="22"/>
          <w:lang w:eastAsia="en-US"/>
        </w:rPr>
        <w:t>je</w:t>
      </w:r>
      <w:bookmarkStart w:id="2" w:name="_Hlk72320812"/>
      <w:r w:rsidR="006B6B27" w:rsidRPr="00831B1A">
        <w:rPr>
          <w:rFonts w:ascii="Arial" w:eastAsiaTheme="minorHAnsi" w:hAnsi="Arial" w:cs="Arial"/>
          <w:sz w:val="22"/>
          <w:szCs w:val="22"/>
          <w:lang w:eastAsia="en-US"/>
        </w:rPr>
        <w:t xml:space="preserve"> </w:t>
      </w:r>
      <w:bookmarkEnd w:id="2"/>
      <w:r w:rsidR="00831B1A" w:rsidRPr="00831B1A">
        <w:rPr>
          <w:rFonts w:ascii="Arial" w:hAnsi="Arial" w:cs="Arial"/>
          <w:sz w:val="22"/>
          <w:szCs w:val="22"/>
        </w:rPr>
        <w:t xml:space="preserve">Oblastní muzeum Praha – východ, příspěvková organizace, </w:t>
      </w:r>
      <w:proofErr w:type="spellStart"/>
      <w:r w:rsidR="00831B1A" w:rsidRPr="00831B1A">
        <w:rPr>
          <w:rFonts w:ascii="Arial" w:hAnsi="Arial" w:cs="Arial"/>
          <w:sz w:val="22"/>
          <w:szCs w:val="22"/>
        </w:rPr>
        <w:t>Arnoldinovský</w:t>
      </w:r>
      <w:proofErr w:type="spellEnd"/>
      <w:r w:rsidR="00831B1A" w:rsidRPr="00831B1A">
        <w:rPr>
          <w:rFonts w:ascii="Arial" w:hAnsi="Arial" w:cs="Arial"/>
          <w:sz w:val="22"/>
          <w:szCs w:val="22"/>
        </w:rPr>
        <w:t xml:space="preserve"> dům, Masarykovo náměstí 97, 250 01 Brandýs nad Labem – Stará Boleslav</w:t>
      </w:r>
      <w:r w:rsidR="00F61AA5" w:rsidRPr="00831B1A">
        <w:rPr>
          <w:rFonts w:ascii="Arial" w:eastAsiaTheme="minorHAnsi" w:hAnsi="Arial" w:cs="Arial"/>
          <w:sz w:val="22"/>
          <w:szCs w:val="22"/>
          <w:lang w:eastAsia="en-US"/>
        </w:rPr>
        <w:t>,</w:t>
      </w:r>
      <w:r w:rsidR="00C00BCB" w:rsidRPr="00E3072D">
        <w:rPr>
          <w:rFonts w:ascii="Arial" w:eastAsiaTheme="minorHAnsi" w:hAnsi="Arial" w:cs="Arial"/>
          <w:sz w:val="22"/>
          <w:szCs w:val="22"/>
          <w:lang w:eastAsia="en-US"/>
        </w:rPr>
        <w:t xml:space="preserve"> </w:t>
      </w:r>
      <w:r w:rsidR="00B33842" w:rsidRPr="00E3072D">
        <w:rPr>
          <w:rFonts w:ascii="Arial" w:eastAsia="Calibri" w:hAnsi="Arial" w:cs="Arial"/>
          <w:sz w:val="22"/>
          <w:szCs w:val="22"/>
          <w:lang w:eastAsia="en-US"/>
        </w:rPr>
        <w:t>v ro</w:t>
      </w:r>
      <w:r w:rsidR="00B33842" w:rsidRPr="00B33842">
        <w:rPr>
          <w:rFonts w:ascii="Arial" w:eastAsia="Calibri" w:hAnsi="Arial" w:cs="Arial"/>
          <w:sz w:val="22"/>
          <w:szCs w:val="22"/>
          <w:lang w:eastAsia="en-US"/>
        </w:rPr>
        <w:t>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w:t>
      </w:r>
      <w:proofErr w:type="gramStart"/>
      <w:r w:rsidR="00975190" w:rsidRPr="008C4CBA">
        <w:rPr>
          <w:rFonts w:ascii="Arial" w:hAnsi="Arial" w:cs="Arial"/>
          <w:sz w:val="22"/>
          <w:szCs w:val="22"/>
        </w:rPr>
        <w:t>podmínka - má</w:t>
      </w:r>
      <w:proofErr w:type="gramEnd"/>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7DAAA8A5" w14:textId="77777777" w:rsidR="00607BAB" w:rsidRDefault="00607BAB" w:rsidP="00607BAB">
      <w:pPr>
        <w:pStyle w:val="Odstavecseseznamem"/>
        <w:rPr>
          <w:rFonts w:ascii="Arial" w:hAnsi="Arial" w:cs="Arial"/>
          <w:sz w:val="22"/>
          <w:szCs w:val="22"/>
        </w:rPr>
      </w:pPr>
    </w:p>
    <w:p w14:paraId="4CD499EA" w14:textId="5AFF744C"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ostatních případech každ</w:t>
      </w:r>
      <w:r w:rsidR="00F61AA5">
        <w:rPr>
          <w:rFonts w:ascii="Arial" w:hAnsi="Arial" w:cs="Arial"/>
          <w:sz w:val="22"/>
          <w:szCs w:val="22"/>
        </w:rPr>
        <w:t>ý</w:t>
      </w:r>
      <w:r w:rsidRPr="008C4CBA">
        <w:rPr>
          <w:rFonts w:ascii="Arial" w:hAnsi="Arial" w:cs="Arial"/>
          <w:sz w:val="22"/>
          <w:szCs w:val="22"/>
        </w:rPr>
        <w:t xml:space="preserve"> </w:t>
      </w:r>
      <w:r w:rsidR="00F61AA5">
        <w:rPr>
          <w:rFonts w:ascii="Arial" w:hAnsi="Arial" w:cs="Arial"/>
          <w:sz w:val="22"/>
          <w:szCs w:val="22"/>
        </w:rPr>
        <w:t>1</w:t>
      </w:r>
      <w:r w:rsidRPr="008C4CBA">
        <w:rPr>
          <w:rFonts w:ascii="Arial" w:hAnsi="Arial" w:cs="Arial"/>
          <w:sz w:val="22"/>
          <w:szCs w:val="22"/>
        </w:rPr>
        <w:t xml:space="preserve"> měsíce);</w:t>
      </w:r>
    </w:p>
    <w:p w14:paraId="0801703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3A39EB6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5B07D17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55FA906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8837E2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378BDF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0C0C43A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4D8CE557"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1471BD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1004BE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zhotovení potřebných provizorních přechodů či přejezdů k objektům, včetně případného nutného osvětlení;</w:t>
      </w:r>
    </w:p>
    <w:p w14:paraId="2104B7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4D02B5E6" w14:textId="517F4D43"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přístřešky, zazimování </w:t>
      </w:r>
      <w:proofErr w:type="gramStart"/>
      <w:r w:rsidRPr="001F1C5E">
        <w:rPr>
          <w:rFonts w:ascii="Arial" w:hAnsi="Arial" w:cs="Arial"/>
          <w:sz w:val="22"/>
          <w:szCs w:val="22"/>
        </w:rPr>
        <w:t>stavby,</w:t>
      </w:r>
      <w:proofErr w:type="gramEnd"/>
      <w:r w:rsidRPr="001F1C5E">
        <w:rPr>
          <w:rFonts w:ascii="Arial" w:hAnsi="Arial" w:cs="Arial"/>
          <w:sz w:val="22"/>
          <w:szCs w:val="22"/>
        </w:rPr>
        <w:t xml:space="preserve"> apod.);</w:t>
      </w:r>
    </w:p>
    <w:p w14:paraId="7C09274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6357A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4CA0F6BE"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6BA9639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C5F2692" w14:textId="07119678"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přístupu záchranným složkám organizací ČR;</w:t>
      </w:r>
    </w:p>
    <w:p w14:paraId="3FB79F9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2713773"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Pr>
          <w:rFonts w:ascii="Arial" w:hAnsi="Arial" w:cs="Arial"/>
          <w:sz w:val="22"/>
          <w:szCs w:val="22"/>
        </w:rPr>
        <w:t>;</w:t>
      </w:r>
    </w:p>
    <w:p w14:paraId="7031AE4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Pr>
          <w:rFonts w:ascii="Arial" w:hAnsi="Arial" w:cs="Arial"/>
          <w:sz w:val="22"/>
          <w:szCs w:val="22"/>
        </w:rPr>
        <w:t>;</w:t>
      </w:r>
    </w:p>
    <w:p w14:paraId="3CF91166" w14:textId="77777777"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Pr>
          <w:rFonts w:ascii="Arial" w:hAnsi="Arial" w:cs="Arial"/>
          <w:sz w:val="22"/>
          <w:szCs w:val="22"/>
        </w:rPr>
        <w:t>;</w:t>
      </w:r>
    </w:p>
    <w:p w14:paraId="3A1D43E8" w14:textId="77777777" w:rsidR="00293711" w:rsidRDefault="00293711" w:rsidP="00293711">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Pr>
          <w:rFonts w:ascii="Arial" w:hAnsi="Arial" w:cs="Arial"/>
          <w:sz w:val="22"/>
          <w:szCs w:val="22"/>
        </w:rPr>
        <w:t>spoň 5 dnů před jejich zakrytím.</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785395D8" w:rsidR="00BF5553" w:rsidRDefault="0087231C" w:rsidP="00357C90">
      <w:pPr>
        <w:widowControl/>
        <w:numPr>
          <w:ilvl w:val="1"/>
          <w:numId w:val="3"/>
        </w:numPr>
        <w:tabs>
          <w:tab w:val="left" w:pos="-180"/>
        </w:tabs>
        <w:autoSpaceDE w:val="0"/>
        <w:spacing w:line="360" w:lineRule="auto"/>
        <w:textAlignment w:val="auto"/>
        <w:rPr>
          <w:rFonts w:ascii="Arial" w:hAnsi="Arial" w:cs="Arial"/>
          <w:sz w:val="22"/>
          <w:szCs w:val="22"/>
        </w:rPr>
      </w:pPr>
      <w:r w:rsidRPr="006047EA">
        <w:rPr>
          <w:rFonts w:ascii="Arial" w:hAnsi="Arial" w:cs="Arial"/>
          <w:sz w:val="22"/>
          <w:szCs w:val="22"/>
        </w:rPr>
        <w:t xml:space="preserve">Dodavatel </w:t>
      </w:r>
      <w:r w:rsidR="000E102E" w:rsidRPr="006047EA">
        <w:rPr>
          <w:rFonts w:ascii="Arial" w:hAnsi="Arial" w:cs="Arial"/>
          <w:sz w:val="22"/>
          <w:szCs w:val="22"/>
        </w:rPr>
        <w:t>bere na vědomí, že</w:t>
      </w:r>
      <w:r w:rsidR="00A32D72">
        <w:rPr>
          <w:rFonts w:ascii="Arial" w:hAnsi="Arial" w:cs="Arial"/>
          <w:sz w:val="22"/>
          <w:szCs w:val="22"/>
        </w:rPr>
        <w:t xml:space="preserve"> realizace</w:t>
      </w:r>
      <w:r w:rsidR="000E102E" w:rsidRPr="006047EA">
        <w:rPr>
          <w:rFonts w:ascii="Arial" w:hAnsi="Arial" w:cs="Arial"/>
          <w:sz w:val="22"/>
          <w:szCs w:val="22"/>
        </w:rPr>
        <w:t xml:space="preserve"> díla bude financováno ze strany objednatele prostřednictvím</w:t>
      </w:r>
      <w:r w:rsidR="00A32D72">
        <w:rPr>
          <w:rFonts w:ascii="Arial" w:hAnsi="Arial" w:cs="Arial"/>
          <w:sz w:val="22"/>
          <w:szCs w:val="22"/>
        </w:rPr>
        <w:t xml:space="preserve"> dotací z</w:t>
      </w:r>
      <w:r w:rsidR="00F12A0B" w:rsidRPr="006047EA">
        <w:rPr>
          <w:rFonts w:ascii="Arial" w:hAnsi="Arial" w:cs="Arial"/>
          <w:sz w:val="22"/>
          <w:szCs w:val="22"/>
        </w:rPr>
        <w:t xml:space="preserve"> veřejných prostředků</w:t>
      </w:r>
      <w:r w:rsidR="00A32D72">
        <w:rPr>
          <w:rFonts w:ascii="Arial" w:hAnsi="Arial" w:cs="Arial"/>
          <w:sz w:val="22"/>
          <w:szCs w:val="22"/>
        </w:rPr>
        <w:t xml:space="preserve"> České republiky</w:t>
      </w:r>
      <w:r w:rsidR="00F12A0B" w:rsidRPr="006047EA">
        <w:rPr>
          <w:rFonts w:ascii="Arial" w:hAnsi="Arial" w:cs="Arial"/>
          <w:sz w:val="22"/>
          <w:szCs w:val="22"/>
        </w:rPr>
        <w:t xml:space="preserve">, kterými jsou </w:t>
      </w:r>
      <w:r w:rsidR="00A32D72">
        <w:rPr>
          <w:rFonts w:ascii="Arial" w:hAnsi="Arial" w:cs="Arial"/>
          <w:sz w:val="22"/>
          <w:szCs w:val="22"/>
        </w:rPr>
        <w:t xml:space="preserve">zejména </w:t>
      </w:r>
      <w:r w:rsidR="00F12A0B" w:rsidRPr="006047EA">
        <w:rPr>
          <w:rFonts w:ascii="Arial" w:hAnsi="Arial" w:cs="Arial"/>
          <w:sz w:val="22"/>
          <w:szCs w:val="22"/>
        </w:rPr>
        <w:t>finanční prostředky</w:t>
      </w:r>
      <w:r w:rsidR="00354D13" w:rsidRPr="006047EA">
        <w:rPr>
          <w:rFonts w:ascii="Arial" w:hAnsi="Arial" w:cs="Arial"/>
          <w:sz w:val="22"/>
          <w:szCs w:val="22"/>
        </w:rPr>
        <w:t xml:space="preserve"> z</w:t>
      </w:r>
      <w:r w:rsidR="00F12A0B" w:rsidRPr="006047EA">
        <w:rPr>
          <w:rFonts w:ascii="Arial" w:hAnsi="Arial" w:cs="Arial"/>
          <w:sz w:val="22"/>
          <w:szCs w:val="22"/>
        </w:rPr>
        <w:t xml:space="preserve"> rozpočtu Středočeského kraje</w:t>
      </w:r>
      <w:r w:rsidR="00B06E73">
        <w:rPr>
          <w:rFonts w:ascii="Arial" w:hAnsi="Arial" w:cs="Arial"/>
          <w:sz w:val="22"/>
          <w:szCs w:val="22"/>
        </w:rPr>
        <w:t xml:space="preserve">. </w:t>
      </w:r>
      <w:r w:rsidR="00A32D72">
        <w:rPr>
          <w:rFonts w:ascii="Arial" w:hAnsi="Arial" w:cs="Arial"/>
          <w:sz w:val="22"/>
          <w:szCs w:val="22"/>
        </w:rPr>
        <w:t>Obě smluvní strany se tedy zavazují dodržet povinnosti, které jim vzhledem k této skutečnosti plynou z platných právních předpisů České republiky.</w:t>
      </w:r>
    </w:p>
    <w:p w14:paraId="5E747A62" w14:textId="77777777" w:rsidR="005C294F" w:rsidRDefault="005C294F" w:rsidP="005C294F">
      <w:pPr>
        <w:pStyle w:val="Odstavecseseznamem"/>
        <w:rPr>
          <w:rFonts w:ascii="Arial" w:hAnsi="Arial" w:cs="Arial"/>
          <w:sz w:val="22"/>
          <w:szCs w:val="22"/>
        </w:rPr>
      </w:pPr>
    </w:p>
    <w:p w14:paraId="2ABAC7C6" w14:textId="6A081591" w:rsidR="00BA3D57" w:rsidRDefault="005C294F" w:rsidP="00BA3D57">
      <w:pPr>
        <w:pStyle w:val="Odstavecseseznamem"/>
        <w:numPr>
          <w:ilvl w:val="1"/>
          <w:numId w:val="3"/>
        </w:numPr>
        <w:rPr>
          <w:rFonts w:ascii="Arial" w:hAnsi="Arial" w:cs="Arial"/>
          <w:sz w:val="22"/>
          <w:szCs w:val="22"/>
        </w:rPr>
      </w:pPr>
      <w:r w:rsidRPr="005C294F">
        <w:rPr>
          <w:rFonts w:ascii="Arial" w:hAnsi="Arial" w:cs="Arial"/>
          <w:sz w:val="22"/>
          <w:szCs w:val="22"/>
        </w:rPr>
        <w:t xml:space="preserve">Dodavatel je povinen poskytovat </w:t>
      </w:r>
      <w:r w:rsidR="00B06E73">
        <w:rPr>
          <w:rFonts w:ascii="Arial" w:hAnsi="Arial" w:cs="Arial"/>
          <w:sz w:val="22"/>
          <w:szCs w:val="22"/>
        </w:rPr>
        <w:t xml:space="preserve">dle platné legislativy </w:t>
      </w:r>
      <w:r w:rsidRPr="005C294F">
        <w:rPr>
          <w:rFonts w:ascii="Arial" w:hAnsi="Arial" w:cs="Arial"/>
          <w:sz w:val="22"/>
          <w:szCs w:val="22"/>
        </w:rPr>
        <w:t xml:space="preserve">požadované informace a dokumentaci související s plněním předmětu této Smlouvy zaměstnancům nebo zmocněncům pověřených orgánů, Nejvyššího kontrolního úřadu (dále také „NKÚ“), </w:t>
      </w:r>
      <w:r w:rsidRPr="005C294F">
        <w:rPr>
          <w:rFonts w:ascii="Arial" w:hAnsi="Arial" w:cs="Arial"/>
          <w:sz w:val="22"/>
          <w:szCs w:val="22"/>
        </w:rPr>
        <w:lastRenderedPageBreak/>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8EBBA4" w14:textId="77777777" w:rsidR="00BA3D57" w:rsidRPr="00BA3D57" w:rsidRDefault="00BA3D57" w:rsidP="00BA3D57">
      <w:pPr>
        <w:pStyle w:val="Odstavecseseznamem"/>
        <w:rPr>
          <w:rFonts w:ascii="Arial" w:hAnsi="Arial" w:cs="Arial"/>
          <w:sz w:val="22"/>
          <w:szCs w:val="22"/>
        </w:rPr>
      </w:pPr>
    </w:p>
    <w:p w14:paraId="2E967D5A" w14:textId="0A821C01" w:rsidR="00BA3D57" w:rsidRPr="00BA3D57" w:rsidRDefault="00BA3D57" w:rsidP="00BA3D57">
      <w:pPr>
        <w:pStyle w:val="Odstavecseseznamem"/>
        <w:numPr>
          <w:ilvl w:val="1"/>
          <w:numId w:val="3"/>
        </w:numPr>
        <w:rPr>
          <w:rFonts w:ascii="Arial" w:hAnsi="Arial" w:cs="Arial"/>
          <w:sz w:val="22"/>
          <w:szCs w:val="22"/>
        </w:rPr>
      </w:pPr>
      <w:r w:rsidRPr="00BA3D57">
        <w:rPr>
          <w:rFonts w:ascii="Arial" w:hAnsi="Arial" w:cs="Arial"/>
          <w:sz w:val="22"/>
          <w:szCs w:val="22"/>
        </w:rPr>
        <w:t xml:space="preserve">Dodavatel je povinen uchovávat veškeré dokumenty související s plněním předmětu této Smlouvy. Všechny dokumenty musí příjemce archivovat a uchovávat </w:t>
      </w:r>
      <w:r w:rsidR="00B06E73">
        <w:rPr>
          <w:rFonts w:ascii="Arial" w:hAnsi="Arial" w:cs="Arial"/>
          <w:sz w:val="22"/>
          <w:szCs w:val="22"/>
        </w:rPr>
        <w:t>dle platné legislativy</w:t>
      </w:r>
      <w:r w:rsidRPr="00BA3D57">
        <w:rPr>
          <w:rFonts w:ascii="Arial" w:hAnsi="Arial" w:cs="Arial"/>
          <w:sz w:val="22"/>
          <w:szCs w:val="22"/>
        </w:rPr>
        <w:t>. Lhůta se staví také z důvodu dalších objektivních překážek (např. zahájené řízení či kontrola jiným správním úřadem, šetření Policií ČR či trestní řízení apod.).</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6A27B090" w14:textId="39B59FEF" w:rsidR="00BA3D57" w:rsidRDefault="000E102E" w:rsidP="00BA3D57">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A2236A" w:rsidRPr="0083537E">
        <w:rPr>
          <w:rFonts w:ascii="Arial" w:hAnsi="Arial" w:cs="Arial"/>
          <w:b/>
        </w:rPr>
        <w:t>„</w:t>
      </w:r>
      <w:r w:rsidR="00A2236A" w:rsidRPr="00831B1A">
        <w:rPr>
          <w:rFonts w:ascii="Arial" w:hAnsi="Arial" w:cs="Arial"/>
          <w:b/>
          <w:sz w:val="22"/>
          <w:szCs w:val="22"/>
        </w:rPr>
        <w:t>Výměna oken za účelem snížení energetické náročnosti budovy</w:t>
      </w:r>
      <w:r w:rsidR="00A2236A" w:rsidRPr="0083537E">
        <w:rPr>
          <w:rFonts w:ascii="Arial" w:hAnsi="Arial" w:cs="Arial"/>
          <w:b/>
        </w:rPr>
        <w:t>“</w:t>
      </w:r>
      <w:r w:rsidR="00A2236A" w:rsidRPr="008A18F6">
        <w:rPr>
          <w:rFonts w:ascii="Arial" w:hAnsi="Arial" w:cs="Arial"/>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0CBF04C7" w14:textId="77777777" w:rsidR="00BA3D57" w:rsidRDefault="00BA3D57" w:rsidP="00BA3D57">
      <w:pPr>
        <w:tabs>
          <w:tab w:val="left" w:pos="-180"/>
          <w:tab w:val="left" w:pos="360"/>
        </w:tabs>
        <w:ind w:left="360" w:hanging="360"/>
        <w:rPr>
          <w:rFonts w:ascii="Arial" w:hAnsi="Arial" w:cs="Arial"/>
          <w:sz w:val="22"/>
          <w:szCs w:val="22"/>
        </w:rPr>
      </w:pPr>
    </w:p>
    <w:p w14:paraId="1424CAA1" w14:textId="538884A1" w:rsidR="00BA3D57" w:rsidRPr="0081191A" w:rsidRDefault="0081191A" w:rsidP="0081191A">
      <w:pPr>
        <w:pStyle w:val="Odstavecseseznamem"/>
        <w:numPr>
          <w:ilvl w:val="1"/>
          <w:numId w:val="3"/>
        </w:numPr>
        <w:tabs>
          <w:tab w:val="left" w:pos="-180"/>
          <w:tab w:val="left" w:pos="360"/>
        </w:tabs>
        <w:rPr>
          <w:rFonts w:ascii="Arial" w:hAnsi="Arial" w:cs="Arial"/>
          <w:sz w:val="22"/>
          <w:szCs w:val="22"/>
        </w:rPr>
      </w:pPr>
      <w:r w:rsidRPr="008C4CBA">
        <w:rPr>
          <w:rFonts w:ascii="Arial" w:hAnsi="Arial" w:cs="Arial"/>
          <w:sz w:val="22"/>
          <w:szCs w:val="22"/>
        </w:rPr>
        <w:t xml:space="preserve">Dodavatel prohlašuje, že vypracoval nabídku na dílo úplně a beze zbytku a že provedl </w:t>
      </w:r>
      <w:r w:rsidRPr="008C4CBA">
        <w:rPr>
          <w:rFonts w:ascii="Arial" w:hAnsi="Arial" w:cs="Arial"/>
          <w:sz w:val="22"/>
          <w:szCs w:val="22"/>
        </w:rPr>
        <w:lastRenderedPageBreak/>
        <w:t xml:space="preserve">kontrolu součtů jednotlivých položek soupisu prací. Jeho nabídka obsahuje všechny materiály, práce a postupy a technologie, které jsou potřebné k dohotovení díla. </w:t>
      </w:r>
      <w:r>
        <w:rPr>
          <w:rFonts w:ascii="Arial" w:hAnsi="Arial" w:cs="Arial"/>
          <w:sz w:val="22"/>
          <w:szCs w:val="22"/>
        </w:rPr>
        <w:t xml:space="preserve"> </w:t>
      </w:r>
      <w:r w:rsidR="00BA3D57" w:rsidRPr="0081191A">
        <w:rPr>
          <w:rFonts w:ascii="Arial" w:hAnsi="Arial" w:cs="Arial"/>
          <w:sz w:val="22"/>
          <w:szCs w:val="22"/>
        </w:rPr>
        <w:t>Vyskytnou-li se v průběhu realizace díla dodatečné stavební práce, které se nepovažují za změnu závazku ze smlouvy dle § 222 zákona č. 134/2016 Sb., o zadávání veřejných zakázek, v platném znění, (dále také „ZZVZ“), může objednatel uzavřít dodatek na tyto dodatečné stavební práce. Postup pro zadávání dodatečných stavebních prací je stanoven v článku III. bodu 3.4 Smlouvy. Existenci a naplnění těchto okolností prokazuje dodavatel.</w:t>
      </w:r>
    </w:p>
    <w:p w14:paraId="627E519D" w14:textId="77777777" w:rsidR="00BA3D57" w:rsidRPr="00BA3D57" w:rsidRDefault="00BA3D57" w:rsidP="00BA3D57">
      <w:pPr>
        <w:tabs>
          <w:tab w:val="left" w:pos="-180"/>
          <w:tab w:val="left" w:pos="360"/>
        </w:tabs>
        <w:ind w:left="360" w:hanging="360"/>
        <w:rPr>
          <w:rFonts w:ascii="Arial" w:hAnsi="Arial" w:cs="Arial"/>
          <w:sz w:val="22"/>
          <w:szCs w:val="22"/>
        </w:rPr>
      </w:pPr>
    </w:p>
    <w:p w14:paraId="230DDDB0"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1.17.</w:t>
      </w:r>
      <w:r w:rsidRPr="00BA3D57">
        <w:rPr>
          <w:rFonts w:ascii="Arial" w:hAnsi="Arial" w:cs="Arial"/>
          <w:sz w:val="22"/>
          <w:szCs w:val="22"/>
        </w:rPr>
        <w:tab/>
        <w:t>Dodavatel bere na vědomí, že zadá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Dodavatel dále prohlašuje, že při plnění předmětu veřejné zakázky zajistí legální zaměstnávání, férové pracovní podmínky a odpovídající úroveň bezpečnosti práce pro všechny osoby, které se na plnění veřejné zakázky podílejí. Dodavatel je povinen zajistit tento požadavek i u svých poddodavatelů.</w:t>
      </w:r>
    </w:p>
    <w:p w14:paraId="65FE60C2" w14:textId="77777777" w:rsidR="00BA3D57" w:rsidRPr="00BA3D57" w:rsidRDefault="00BA3D57" w:rsidP="00BA3D57">
      <w:pPr>
        <w:tabs>
          <w:tab w:val="left" w:pos="-180"/>
          <w:tab w:val="left" w:pos="360"/>
        </w:tabs>
        <w:ind w:left="360" w:hanging="360"/>
        <w:rPr>
          <w:rFonts w:ascii="Arial" w:hAnsi="Arial" w:cs="Arial"/>
          <w:sz w:val="22"/>
          <w:szCs w:val="22"/>
        </w:rPr>
      </w:pPr>
    </w:p>
    <w:p w14:paraId="6AD2D8AD"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1.18.</w:t>
      </w:r>
      <w:r w:rsidRPr="00BA3D57">
        <w:rPr>
          <w:rFonts w:ascii="Arial" w:hAnsi="Arial" w:cs="Arial"/>
          <w:sz w:val="22"/>
          <w:szCs w:val="22"/>
        </w:rPr>
        <w:tab/>
        <w:t xml:space="preserve"> Dodavatel bere na vědomí a výslovně souhlasí s tím, že Objednatel je v souladu s principy sociálně odpovědného veřejného zadávání oprávněn provést platby přímo konkrétnímu poddodavateli dodavatele, a to dle § 106 Zákona</w:t>
      </w:r>
    </w:p>
    <w:p w14:paraId="35CF5BC3" w14:textId="77777777" w:rsidR="00BA3D57" w:rsidRPr="00BA3D57" w:rsidRDefault="00BA3D57" w:rsidP="00BA3D57">
      <w:pPr>
        <w:tabs>
          <w:tab w:val="left" w:pos="-180"/>
          <w:tab w:val="left" w:pos="360"/>
        </w:tabs>
        <w:ind w:left="360" w:hanging="360"/>
        <w:rPr>
          <w:rFonts w:ascii="Arial" w:hAnsi="Arial" w:cs="Arial"/>
          <w:sz w:val="22"/>
          <w:szCs w:val="22"/>
        </w:rPr>
      </w:pPr>
    </w:p>
    <w:p w14:paraId="43CA9D45" w14:textId="6F000581" w:rsidR="00BA3D57" w:rsidRPr="008C4CBA"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1.19.</w:t>
      </w:r>
      <w:r w:rsidRPr="00BA3D57">
        <w:rPr>
          <w:rFonts w:ascii="Arial" w:hAnsi="Arial" w:cs="Arial"/>
          <w:sz w:val="22"/>
          <w:szCs w:val="22"/>
        </w:rPr>
        <w:tab/>
        <w:t xml:space="preserve"> Dodavatel se zavazuje, že s ohledem na ochranu životního prostředí, se zaváže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5AAA8BBE"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w:t>
      </w:r>
      <w:r w:rsidR="000C660B">
        <w:rPr>
          <w:rFonts w:ascii="Arial" w:hAnsi="Arial" w:cs="Arial"/>
          <w:sz w:val="22"/>
          <w:szCs w:val="22"/>
        </w:rPr>
        <w:t xml:space="preserve"> </w:t>
      </w:r>
      <w:r w:rsidRPr="009F32DE">
        <w:rPr>
          <w:rFonts w:ascii="Arial" w:hAnsi="Arial" w:cs="Arial"/>
          <w:sz w:val="22"/>
          <w:szCs w:val="22"/>
        </w:rPr>
        <w:t>článku I. odst. 1.</w:t>
      </w:r>
      <w:r w:rsidR="00274C71">
        <w:rPr>
          <w:rFonts w:ascii="Arial" w:hAnsi="Arial" w:cs="Arial"/>
          <w:sz w:val="22"/>
          <w:szCs w:val="22"/>
        </w:rPr>
        <w:t>4</w:t>
      </w:r>
      <w:r w:rsidRPr="009F32DE">
        <w:rPr>
          <w:rFonts w:ascii="Arial" w:hAnsi="Arial" w:cs="Arial"/>
          <w:sz w:val="22"/>
          <w:szCs w:val="22"/>
        </w:rPr>
        <w:t>. a 1.</w:t>
      </w:r>
      <w:r w:rsidR="00274C71">
        <w:rPr>
          <w:rFonts w:ascii="Arial" w:hAnsi="Arial" w:cs="Arial"/>
          <w:sz w:val="22"/>
          <w:szCs w:val="22"/>
        </w:rPr>
        <w:t>7</w:t>
      </w:r>
      <w:r w:rsidRPr="009F32DE">
        <w:rPr>
          <w:rFonts w:ascii="Arial" w:hAnsi="Arial" w:cs="Arial"/>
          <w:sz w:val="22"/>
          <w:szCs w:val="22"/>
        </w:rPr>
        <w:t xml:space="preserve">. smlouvy v termínu </w:t>
      </w:r>
      <w:r w:rsidRPr="00A46F1B">
        <w:rPr>
          <w:rFonts w:ascii="Arial" w:hAnsi="Arial" w:cs="Arial"/>
          <w:sz w:val="22"/>
          <w:szCs w:val="22"/>
        </w:rPr>
        <w:t xml:space="preserve">do </w:t>
      </w:r>
      <w:r w:rsidR="00A2236A" w:rsidRPr="00A2236A">
        <w:rPr>
          <w:rFonts w:ascii="Arial" w:hAnsi="Arial" w:cs="Arial"/>
          <w:sz w:val="22"/>
          <w:szCs w:val="22"/>
        </w:rPr>
        <w:t>31. 3. 2026</w:t>
      </w:r>
      <w:r w:rsidR="00A2236A">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493CF470"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 xml:space="preserve">ailem a to nejméně 7 kalendářních dnů před požadovaným započetím prací, přičemž dodavatel je povinen potvrdit převzetí této výzvy, písemně, e-mailem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 xml:space="preserve">mlouvy.  Dodavatel je povinen zahájit provádění díla v termínu dle zaslané výzvy. V případě, že výzva neobsahuje přesný termín </w:t>
      </w:r>
      <w:r w:rsidR="00453BDF" w:rsidRPr="00453BDF">
        <w:rPr>
          <w:rFonts w:ascii="Arial" w:hAnsi="Arial" w:cs="Arial"/>
          <w:sz w:val="22"/>
          <w:szCs w:val="22"/>
        </w:rPr>
        <w:lastRenderedPageBreak/>
        <w:t>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6E6842F7"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 xml:space="preserve">ve </w:t>
      </w:r>
      <w:r w:rsidR="00F745B6" w:rsidRPr="00A46F1B">
        <w:rPr>
          <w:rFonts w:ascii="Arial" w:hAnsi="Arial" w:cs="Arial"/>
          <w:b/>
          <w:bCs/>
          <w:sz w:val="22"/>
          <w:szCs w:val="22"/>
        </w:rPr>
        <w:t>výši 1</w:t>
      </w:r>
      <w:r w:rsidR="00F55E1E" w:rsidRPr="00A46F1B">
        <w:rPr>
          <w:rFonts w:ascii="Arial" w:hAnsi="Arial" w:cs="Arial"/>
          <w:b/>
          <w:bCs/>
          <w:sz w:val="22"/>
          <w:szCs w:val="22"/>
        </w:rPr>
        <w:t>0</w:t>
      </w:r>
      <w:r w:rsidR="00F745B6" w:rsidRPr="00A46F1B">
        <w:rPr>
          <w:rFonts w:ascii="Arial" w:hAnsi="Arial" w:cs="Arial"/>
          <w:b/>
          <w:bCs/>
          <w:sz w:val="22"/>
          <w:szCs w:val="22"/>
        </w:rPr>
        <w:t>.000,00 Kč</w:t>
      </w:r>
      <w:r w:rsidR="00F745B6" w:rsidRPr="004B636D">
        <w:rPr>
          <w:rFonts w:ascii="Arial" w:hAnsi="Arial" w:cs="Arial"/>
          <w:b/>
          <w:bCs/>
          <w:sz w:val="22"/>
          <w:szCs w:val="22"/>
        </w:rPr>
        <w:t xml:space="preserve">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5AB33BFA" w14:textId="01D7267C" w:rsidR="008D2A9B" w:rsidRPr="00F55E1E" w:rsidRDefault="00DD732B" w:rsidP="0046689E">
      <w:pPr>
        <w:numPr>
          <w:ilvl w:val="1"/>
          <w:numId w:val="14"/>
        </w:numPr>
        <w:rPr>
          <w:rFonts w:ascii="Arial" w:hAnsi="Arial" w:cs="Arial"/>
          <w:sz w:val="22"/>
          <w:szCs w:val="22"/>
        </w:rPr>
      </w:pPr>
      <w:r w:rsidRPr="00F55E1E">
        <w:rPr>
          <w:rFonts w:ascii="Arial" w:hAnsi="Arial" w:cs="Arial"/>
          <w:bCs/>
          <w:sz w:val="22"/>
          <w:szCs w:val="22"/>
        </w:rPr>
        <w:t xml:space="preserve">Provádění díla se v rámci zimního období </w:t>
      </w:r>
      <w:r w:rsidR="00F55E1E" w:rsidRPr="00F55E1E">
        <w:rPr>
          <w:rFonts w:ascii="Arial" w:hAnsi="Arial" w:cs="Arial"/>
          <w:bCs/>
          <w:sz w:val="22"/>
          <w:szCs w:val="22"/>
        </w:rPr>
        <w:t>ne</w:t>
      </w:r>
      <w:r w:rsidRPr="00F55E1E">
        <w:rPr>
          <w:rFonts w:ascii="Arial" w:hAnsi="Arial" w:cs="Arial"/>
          <w:bCs/>
          <w:sz w:val="22"/>
          <w:szCs w:val="22"/>
        </w:rPr>
        <w:t>přerušuje</w:t>
      </w:r>
      <w:r w:rsidR="00F55E1E">
        <w:rPr>
          <w:rFonts w:ascii="Arial" w:hAnsi="Arial" w:cs="Arial"/>
          <w:bCs/>
          <w:sz w:val="22"/>
          <w:szCs w:val="22"/>
        </w:rPr>
        <w:t>.</w:t>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0062273A" w14:textId="77777777" w:rsidR="00F55E1E" w:rsidRPr="00AB6944" w:rsidRDefault="00F55E1E" w:rsidP="00F55E1E">
      <w:pPr>
        <w:pStyle w:val="Odstavecseseznamem"/>
        <w:autoSpaceDE w:val="0"/>
        <w:ind w:left="720"/>
        <w:rPr>
          <w:rFonts w:ascii="Arial" w:hAnsi="Arial" w:cs="Arial"/>
          <w:sz w:val="22"/>
          <w:szCs w:val="22"/>
        </w:rPr>
      </w:pPr>
    </w:p>
    <w:p w14:paraId="38967BFF" w14:textId="1A2A217F"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w:t>
      </w:r>
      <w:r w:rsidR="00522D87" w:rsidRPr="00522D87">
        <w:rPr>
          <w:rFonts w:ascii="Arial" w:hAnsi="Arial" w:cs="Arial"/>
          <w:sz w:val="22"/>
          <w:szCs w:val="22"/>
        </w:rPr>
        <w:lastRenderedPageBreak/>
        <w:t xml:space="preserve">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 xml:space="preserve">mlouvy, a kterými jsou zejména </w:t>
      </w:r>
      <w:proofErr w:type="gramStart"/>
      <w:r w:rsidRPr="00522D87">
        <w:rPr>
          <w:rFonts w:ascii="Arial" w:hAnsi="Arial" w:cs="Arial"/>
          <w:sz w:val="22"/>
          <w:szCs w:val="22"/>
        </w:rPr>
        <w:t>živelné</w:t>
      </w:r>
      <w:proofErr w:type="gramEnd"/>
      <w:r w:rsidRPr="00522D87">
        <w:rPr>
          <w:rFonts w:ascii="Arial" w:hAnsi="Arial" w:cs="Arial"/>
          <w:sz w:val="22"/>
          <w:szCs w:val="22"/>
        </w:rPr>
        <w:t xml:space="preserve">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lastRenderedPageBreak/>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50878F19"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w:t>
      </w:r>
      <w:r w:rsidRPr="00543B3F">
        <w:rPr>
          <w:rFonts w:ascii="Arial" w:hAnsi="Arial" w:cs="Arial"/>
          <w:sz w:val="22"/>
          <w:szCs w:val="22"/>
        </w:rPr>
        <w:lastRenderedPageBreak/>
        <w:t xml:space="preserve">(neodpovídající geologické </w:t>
      </w:r>
      <w:proofErr w:type="gramStart"/>
      <w:r w:rsidRPr="00543B3F">
        <w:rPr>
          <w:rFonts w:ascii="Arial" w:hAnsi="Arial" w:cs="Arial"/>
          <w:sz w:val="22"/>
          <w:szCs w:val="22"/>
        </w:rPr>
        <w:t>údaje,</w:t>
      </w:r>
      <w:proofErr w:type="gramEnd"/>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6EFC2A66" w14:textId="77777777" w:rsidR="00AB4A95" w:rsidRDefault="000E102E" w:rsidP="00AB4A95">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48891EE2" w14:textId="77777777" w:rsidR="00AB4A95" w:rsidRDefault="00AB4A95" w:rsidP="00AB4A95">
      <w:pPr>
        <w:ind w:left="450"/>
        <w:rPr>
          <w:rFonts w:ascii="Arial" w:hAnsi="Arial" w:cs="Arial"/>
          <w:sz w:val="22"/>
          <w:szCs w:val="22"/>
        </w:rPr>
      </w:pPr>
    </w:p>
    <w:p w14:paraId="5B316965" w14:textId="77777777" w:rsidR="001236AB" w:rsidRPr="001236AB" w:rsidRDefault="0005053B" w:rsidP="006F0717">
      <w:pPr>
        <w:numPr>
          <w:ilvl w:val="1"/>
          <w:numId w:val="18"/>
        </w:numPr>
        <w:autoSpaceDE w:val="0"/>
        <w:autoSpaceDN w:val="0"/>
        <w:adjustRightInd w:val="0"/>
      </w:pPr>
      <w:r w:rsidRPr="001236AB">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sidRPr="001236AB">
        <w:rPr>
          <w:rFonts w:ascii="Arial" w:hAnsi="Arial" w:cs="Arial"/>
          <w:sz w:val="22"/>
          <w:szCs w:val="22"/>
        </w:rPr>
        <w:t>TDS</w:t>
      </w:r>
      <w:r w:rsidRPr="001236A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1236AB">
        <w:rPr>
          <w:rFonts w:ascii="Arial" w:hAnsi="Arial" w:cs="Arial"/>
          <w:sz w:val="22"/>
          <w:szCs w:val="22"/>
        </w:rPr>
        <w:t>,</w:t>
      </w:r>
      <w:r w:rsidRPr="001236AB">
        <w:rPr>
          <w:rFonts w:ascii="Arial" w:hAnsi="Arial" w:cs="Arial"/>
          <w:sz w:val="22"/>
          <w:szCs w:val="22"/>
        </w:rPr>
        <w:t xml:space="preserve"> a bude v nich uveden název </w:t>
      </w:r>
      <w:r w:rsidR="001E5E69" w:rsidRPr="001236AB">
        <w:rPr>
          <w:rFonts w:ascii="Arial" w:hAnsi="Arial" w:cs="Arial"/>
          <w:b/>
        </w:rPr>
        <w:t>„</w:t>
      </w:r>
      <w:r w:rsidR="00C84EC2" w:rsidRPr="001236AB">
        <w:rPr>
          <w:rFonts w:ascii="Arial" w:hAnsi="Arial" w:cs="Arial"/>
          <w:b/>
          <w:bCs/>
          <w:sz w:val="22"/>
          <w:szCs w:val="22"/>
        </w:rPr>
        <w:t>Stavební úpravy</w:t>
      </w:r>
      <w:r w:rsidR="001E5E69" w:rsidRPr="001236AB">
        <w:rPr>
          <w:rFonts w:ascii="Arial" w:hAnsi="Arial" w:cs="Arial"/>
          <w:b/>
        </w:rPr>
        <w:t>“</w:t>
      </w:r>
      <w:r w:rsidRPr="001236AB">
        <w:rPr>
          <w:rFonts w:ascii="Arial" w:hAnsi="Arial" w:cs="Arial"/>
          <w:sz w:val="22"/>
          <w:szCs w:val="22"/>
        </w:rPr>
        <w:t>,</w:t>
      </w:r>
      <w:r w:rsidRPr="001236AB">
        <w:rPr>
          <w:rFonts w:ascii="Arial" w:hAnsi="Arial" w:cs="Arial"/>
          <w:b/>
          <w:bCs/>
          <w:sz w:val="22"/>
          <w:szCs w:val="22"/>
        </w:rPr>
        <w:t xml:space="preserve"> </w:t>
      </w:r>
      <w:r w:rsidRPr="001236AB">
        <w:rPr>
          <w:rFonts w:ascii="Arial" w:hAnsi="Arial" w:cs="Arial"/>
          <w:sz w:val="22"/>
          <w:szCs w:val="22"/>
        </w:rPr>
        <w:t xml:space="preserve">číslo </w:t>
      </w:r>
      <w:r w:rsidR="00072529" w:rsidRPr="001236AB">
        <w:rPr>
          <w:rFonts w:ascii="Arial" w:hAnsi="Arial" w:cs="Arial"/>
          <w:sz w:val="22"/>
          <w:szCs w:val="22"/>
        </w:rPr>
        <w:t>Smlouvy dodavatele</w:t>
      </w:r>
      <w:r w:rsidRPr="001236AB">
        <w:rPr>
          <w:rFonts w:ascii="Arial" w:hAnsi="Arial" w:cs="Arial"/>
          <w:sz w:val="22"/>
          <w:szCs w:val="22"/>
        </w:rPr>
        <w:t xml:space="preserve">, číslo </w:t>
      </w:r>
      <w:r w:rsidR="00072529" w:rsidRPr="001236AB">
        <w:rPr>
          <w:rFonts w:ascii="Arial" w:hAnsi="Arial" w:cs="Arial"/>
          <w:sz w:val="22"/>
          <w:szCs w:val="22"/>
        </w:rPr>
        <w:t>S</w:t>
      </w:r>
      <w:r w:rsidRPr="001236AB">
        <w:rPr>
          <w:rFonts w:ascii="Arial" w:hAnsi="Arial" w:cs="Arial"/>
          <w:sz w:val="22"/>
          <w:szCs w:val="22"/>
        </w:rPr>
        <w:t>mlouvy objednatel</w:t>
      </w:r>
      <w:r w:rsidR="00072529" w:rsidRPr="001236AB">
        <w:rPr>
          <w:rFonts w:ascii="Arial" w:hAnsi="Arial" w:cs="Arial"/>
          <w:sz w:val="22"/>
          <w:szCs w:val="22"/>
        </w:rPr>
        <w:t>e</w:t>
      </w:r>
      <w:r w:rsidR="00F17460" w:rsidRPr="001236AB">
        <w:rPr>
          <w:rFonts w:ascii="Arial" w:hAnsi="Arial" w:cs="Arial"/>
          <w:sz w:val="22"/>
          <w:szCs w:val="22"/>
        </w:rPr>
        <w:t xml:space="preserve"> a </w:t>
      </w:r>
      <w:r w:rsidR="007E4C79" w:rsidRPr="001236AB">
        <w:rPr>
          <w:rFonts w:ascii="Arial" w:hAnsi="Arial" w:cs="Arial"/>
          <w:sz w:val="22"/>
          <w:szCs w:val="22"/>
        </w:rPr>
        <w:t xml:space="preserve">název a číslo </w:t>
      </w:r>
      <w:r w:rsidR="001E5E69" w:rsidRPr="001236AB">
        <w:rPr>
          <w:rFonts w:ascii="Arial" w:hAnsi="Arial" w:cs="Arial"/>
          <w:sz w:val="22"/>
          <w:szCs w:val="22"/>
        </w:rPr>
        <w:t xml:space="preserve">z projektu. </w:t>
      </w:r>
      <w:r w:rsidRPr="001236AB">
        <w:rPr>
          <w:rFonts w:ascii="Arial" w:hAnsi="Arial" w:cs="Arial"/>
          <w:sz w:val="22"/>
          <w:szCs w:val="22"/>
        </w:rPr>
        <w:t>Nedílnou součástí každé faktury musí být soupis provedených prací a dodávek za kalendářní měsíc</w:t>
      </w:r>
      <w:r w:rsidR="00F55E1E" w:rsidRPr="001236AB">
        <w:rPr>
          <w:rFonts w:ascii="Arial" w:hAnsi="Arial" w:cs="Arial"/>
          <w:sz w:val="22"/>
          <w:szCs w:val="22"/>
        </w:rPr>
        <w:t>, písemně odsouhlasený TDS Objednatele</w:t>
      </w:r>
      <w:r w:rsidRPr="001236AB">
        <w:rPr>
          <w:rFonts w:ascii="Arial" w:hAnsi="Arial" w:cs="Arial"/>
          <w:sz w:val="22"/>
          <w:szCs w:val="22"/>
        </w:rPr>
        <w:t>, a fotodokumentace dle ustanovení článku I. odst. 1.</w:t>
      </w:r>
      <w:r w:rsidR="00274C71" w:rsidRPr="001236AB">
        <w:rPr>
          <w:rFonts w:ascii="Arial" w:hAnsi="Arial" w:cs="Arial"/>
          <w:sz w:val="22"/>
          <w:szCs w:val="22"/>
        </w:rPr>
        <w:t>10</w:t>
      </w:r>
      <w:r w:rsidRPr="001236AB">
        <w:rPr>
          <w:rFonts w:ascii="Arial" w:hAnsi="Arial" w:cs="Arial"/>
          <w:sz w:val="22"/>
          <w:szCs w:val="22"/>
        </w:rPr>
        <w:t>. a odst. 1.</w:t>
      </w:r>
      <w:r w:rsidR="00274C71" w:rsidRPr="001236AB">
        <w:rPr>
          <w:rFonts w:ascii="Arial" w:hAnsi="Arial" w:cs="Arial"/>
          <w:sz w:val="22"/>
          <w:szCs w:val="22"/>
        </w:rPr>
        <w:t>11</w:t>
      </w:r>
      <w:r w:rsidRPr="001236AB">
        <w:rPr>
          <w:rFonts w:ascii="Arial" w:hAnsi="Arial" w:cs="Arial"/>
          <w:sz w:val="22"/>
          <w:szCs w:val="22"/>
        </w:rPr>
        <w:t xml:space="preserve">. </w:t>
      </w:r>
      <w:r w:rsidR="005A3082" w:rsidRPr="001236AB">
        <w:rPr>
          <w:rFonts w:ascii="Arial" w:hAnsi="Arial" w:cs="Arial"/>
          <w:sz w:val="22"/>
          <w:szCs w:val="22"/>
        </w:rPr>
        <w:t>S</w:t>
      </w:r>
      <w:r w:rsidRPr="001236AB">
        <w:rPr>
          <w:rFonts w:ascii="Arial" w:hAnsi="Arial" w:cs="Arial"/>
          <w:sz w:val="22"/>
          <w:szCs w:val="22"/>
        </w:rPr>
        <w:t>mlouvy</w:t>
      </w:r>
      <w:r w:rsidR="000E102E" w:rsidRPr="001236AB">
        <w:rPr>
          <w:rFonts w:ascii="Arial" w:hAnsi="Arial" w:cs="Arial"/>
          <w:sz w:val="22"/>
          <w:szCs w:val="22"/>
        </w:rPr>
        <w:t>.</w:t>
      </w:r>
    </w:p>
    <w:p w14:paraId="11A52B20" w14:textId="77777777" w:rsidR="001236AB" w:rsidRDefault="001236AB" w:rsidP="001236AB">
      <w:pPr>
        <w:pStyle w:val="Odstavecseseznamem"/>
        <w:rPr>
          <w:rFonts w:ascii="Arial" w:hAnsi="Arial" w:cs="Arial"/>
          <w:sz w:val="22"/>
          <w:szCs w:val="22"/>
        </w:rPr>
      </w:pPr>
    </w:p>
    <w:p w14:paraId="68E21767" w14:textId="70392445" w:rsidR="005D7C31" w:rsidRDefault="007E4C79" w:rsidP="006F0717">
      <w:pPr>
        <w:numPr>
          <w:ilvl w:val="1"/>
          <w:numId w:val="18"/>
        </w:numPr>
        <w:autoSpaceDE w:val="0"/>
        <w:autoSpaceDN w:val="0"/>
        <w:adjustRightInd w:val="0"/>
      </w:pPr>
      <w:r w:rsidRPr="001236AB">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w:t>
      </w:r>
      <w:r w:rsidRPr="00504B5D">
        <w:rPr>
          <w:rFonts w:ascii="Arial" w:hAnsi="Arial" w:cs="Arial"/>
          <w:sz w:val="22"/>
          <w:szCs w:val="22"/>
        </w:rPr>
        <w:t xml:space="preserve">ění je poslední den tohoto kalendářního měsíce. Vystavené faktury objednatel uhradí až do výše </w:t>
      </w:r>
      <w:r w:rsidR="005D7C31" w:rsidRPr="00504B5D">
        <w:rPr>
          <w:rFonts w:ascii="Arial" w:hAnsi="Arial" w:cs="Arial"/>
          <w:sz w:val="22"/>
          <w:szCs w:val="22"/>
        </w:rPr>
        <w:t>85</w:t>
      </w:r>
      <w:r w:rsidRPr="00504B5D">
        <w:rPr>
          <w:rFonts w:ascii="Arial" w:hAnsi="Arial" w:cs="Arial"/>
          <w:sz w:val="22"/>
          <w:szCs w:val="22"/>
        </w:rPr>
        <w:t xml:space="preserve"> % základu daně (fakturované ceny díla) a DPH v plné výši.  Zbývajících 10 % základu daně tvoří pozastávku</w:t>
      </w:r>
      <w:r w:rsidR="005D7C31" w:rsidRPr="00504B5D">
        <w:rPr>
          <w:rFonts w:ascii="Arial" w:hAnsi="Arial" w:cs="Arial"/>
          <w:sz w:val="22"/>
          <w:szCs w:val="22"/>
        </w:rPr>
        <w:t xml:space="preserve"> na odstranění vad a nedodělků a zbývajících 5 % základu daně tvoří pozastávku na dobu záruky</w:t>
      </w:r>
      <w:r w:rsidRPr="00504B5D">
        <w:rPr>
          <w:rFonts w:ascii="Arial" w:hAnsi="Arial" w:cs="Arial"/>
          <w:sz w:val="22"/>
          <w:szCs w:val="22"/>
        </w:rPr>
        <w:t>. Tuto informaci</w:t>
      </w:r>
      <w:r w:rsidRPr="001236AB">
        <w:rPr>
          <w:rFonts w:ascii="Arial" w:hAnsi="Arial" w:cs="Arial"/>
          <w:sz w:val="22"/>
          <w:szCs w:val="22"/>
        </w:rPr>
        <w:t xml:space="preserve">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5D7C31" w:rsidRPr="001236AB">
        <w:rPr>
          <w:rFonts w:ascii="Arial" w:hAnsi="Arial" w:cs="Arial"/>
          <w:sz w:val="22"/>
          <w:szCs w:val="22"/>
        </w:rPr>
        <w:t xml:space="preserve"> Právo na úhradu pozastávky ve výši 5 % z celkové ceny díla bez DPH (základu daně) vznikne Dodavateli po uplynutí záruční doby. Pozastávku objednatel uhradí do 30 dnů od doručení písemné žádosti o uvolnění pozastávky.</w:t>
      </w:r>
    </w:p>
    <w:p w14:paraId="5D2B974B" w14:textId="77777777" w:rsidR="00EE2C6B" w:rsidRPr="005D7C31" w:rsidRDefault="00EE2C6B" w:rsidP="005D7C31">
      <w:pPr>
        <w:ind w:left="450"/>
        <w:rPr>
          <w:rFonts w:ascii="Arial" w:hAnsi="Arial" w:cs="Arial"/>
          <w:sz w:val="22"/>
          <w:szCs w:val="22"/>
        </w:rPr>
      </w:pPr>
    </w:p>
    <w:p w14:paraId="050326C3" w14:textId="75A98120" w:rsidR="00EE2C6B" w:rsidRPr="004A6624" w:rsidRDefault="004A6624" w:rsidP="00EB7D60">
      <w:pPr>
        <w:numPr>
          <w:ilvl w:val="1"/>
          <w:numId w:val="18"/>
        </w:numPr>
        <w:rPr>
          <w:rFonts w:ascii="Arial" w:hAnsi="Arial" w:cs="Arial"/>
          <w:sz w:val="22"/>
          <w:szCs w:val="22"/>
        </w:rPr>
      </w:pPr>
      <w:r w:rsidRPr="004A6624">
        <w:rPr>
          <w:rFonts w:ascii="Arial" w:hAnsi="Arial" w:cs="Arial"/>
          <w:sz w:val="22"/>
          <w:szCs w:val="22"/>
        </w:rPr>
        <w:lastRenderedPageBreak/>
        <w:t>P</w:t>
      </w:r>
      <w:r w:rsidR="00297359" w:rsidRPr="004A6624">
        <w:rPr>
          <w:rFonts w:ascii="Arial" w:hAnsi="Arial" w:cs="Arial"/>
          <w:sz w:val="22"/>
          <w:szCs w:val="22"/>
        </w:rPr>
        <w:t>ozastávka</w:t>
      </w:r>
      <w:r w:rsidRPr="004A6624">
        <w:rPr>
          <w:rFonts w:ascii="Arial" w:hAnsi="Arial" w:cs="Arial"/>
          <w:sz w:val="22"/>
          <w:szCs w:val="22"/>
        </w:rPr>
        <w:t xml:space="preserve"> na dobu záruky</w:t>
      </w:r>
      <w:r w:rsidR="007E4C79" w:rsidRPr="004A6624">
        <w:rPr>
          <w:rFonts w:ascii="Arial" w:hAnsi="Arial" w:cs="Arial"/>
          <w:sz w:val="22"/>
          <w:szCs w:val="22"/>
        </w:rPr>
        <w:t>, dohodnut</w:t>
      </w:r>
      <w:r w:rsidRPr="004A6624">
        <w:rPr>
          <w:rFonts w:ascii="Arial" w:hAnsi="Arial" w:cs="Arial"/>
          <w:sz w:val="22"/>
          <w:szCs w:val="22"/>
        </w:rPr>
        <w:t>á</w:t>
      </w:r>
      <w:r w:rsidR="007E4C79" w:rsidRPr="004A6624">
        <w:rPr>
          <w:rFonts w:ascii="Arial" w:hAnsi="Arial" w:cs="Arial"/>
          <w:sz w:val="22"/>
          <w:szCs w:val="22"/>
        </w:rPr>
        <w:t xml:space="preserve"> podle podmínek předešlého bodu smlouvy, </w:t>
      </w:r>
      <w:r w:rsidRPr="004A6624">
        <w:rPr>
          <w:rFonts w:ascii="Arial" w:hAnsi="Arial" w:cs="Arial"/>
          <w:sz w:val="22"/>
          <w:szCs w:val="22"/>
        </w:rPr>
        <w:t>může</w:t>
      </w:r>
      <w:r w:rsidR="007E4C79" w:rsidRPr="004A6624">
        <w:rPr>
          <w:rFonts w:ascii="Arial" w:hAnsi="Arial" w:cs="Arial"/>
          <w:sz w:val="22"/>
          <w:szCs w:val="22"/>
        </w:rPr>
        <w:t xml:space="preserve"> být po vzájemné dohodě smluvních stran nahrazen</w:t>
      </w:r>
      <w:r w:rsidRPr="004A6624">
        <w:rPr>
          <w:rFonts w:ascii="Arial" w:hAnsi="Arial" w:cs="Arial"/>
          <w:sz w:val="22"/>
          <w:szCs w:val="22"/>
        </w:rPr>
        <w:t>a</w:t>
      </w:r>
      <w:r w:rsidR="007E4C79" w:rsidRPr="004A6624">
        <w:rPr>
          <w:rFonts w:ascii="Arial" w:hAnsi="Arial" w:cs="Arial"/>
          <w:sz w:val="22"/>
          <w:szCs w:val="22"/>
        </w:rPr>
        <w:t xml:space="preserve"> bankovní zárukou ve stejné výši. </w:t>
      </w:r>
    </w:p>
    <w:p w14:paraId="70F41A21" w14:textId="74B22A30" w:rsidR="00EE2C6B" w:rsidRPr="00A2236A" w:rsidRDefault="0039284F" w:rsidP="00A2236A">
      <w:pPr>
        <w:numPr>
          <w:ilvl w:val="1"/>
          <w:numId w:val="18"/>
        </w:numPr>
        <w:rPr>
          <w:rFonts w:ascii="Arial" w:hAnsi="Arial" w:cs="Arial"/>
          <w:sz w:val="22"/>
          <w:szCs w:val="22"/>
        </w:rPr>
      </w:pPr>
      <w:r w:rsidRPr="00297359">
        <w:rPr>
          <w:rFonts w:ascii="Arial" w:hAnsi="Arial" w:cs="Arial"/>
          <w:sz w:val="22"/>
          <w:szCs w:val="22"/>
        </w:rPr>
        <w:t>Faktura je splatná ve lhůtě 30 kalendářních dnů od</w:t>
      </w:r>
      <w:r w:rsidR="00A2236A" w:rsidRPr="00297359">
        <w:rPr>
          <w:rFonts w:ascii="Arial" w:hAnsi="Arial" w:cs="Arial"/>
          <w:sz w:val="22"/>
          <w:szCs w:val="22"/>
        </w:rPr>
        <w:t xml:space="preserve">e dne jejího doručení na adresu </w:t>
      </w:r>
      <w:hyperlink r:id="rId11" w:history="1">
        <w:r w:rsidR="00A2236A" w:rsidRPr="00297359">
          <w:rPr>
            <w:rStyle w:val="Hypertextovodkaz"/>
            <w:rFonts w:ascii="Arial" w:hAnsi="Arial" w:cs="Arial"/>
            <w:sz w:val="22"/>
            <w:szCs w:val="22"/>
          </w:rPr>
          <w:t>invoices@ompv.cz</w:t>
        </w:r>
      </w:hyperlink>
      <w:r w:rsidR="00A2236A" w:rsidRPr="00297359">
        <w:rPr>
          <w:rFonts w:ascii="Arial" w:hAnsi="Arial" w:cs="Arial"/>
          <w:sz w:val="22"/>
          <w:szCs w:val="22"/>
        </w:rPr>
        <w:t xml:space="preserve"> </w:t>
      </w:r>
      <w:r w:rsidRPr="00297359">
        <w:rPr>
          <w:rFonts w:ascii="Arial" w:hAnsi="Arial" w:cs="Arial"/>
          <w:sz w:val="22"/>
          <w:szCs w:val="22"/>
        </w:rPr>
        <w:t>. Faktura je splatná za předpokladu, že bude vystavena v souladu s platebními podmínkami</w:t>
      </w:r>
      <w:r w:rsidRPr="00A2236A">
        <w:rPr>
          <w:rFonts w:ascii="Arial" w:hAnsi="Arial" w:cs="Arial"/>
          <w:sz w:val="22"/>
          <w:szCs w:val="22"/>
        </w:rPr>
        <w:t xml:space="preserve">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sidRPr="00A2236A">
        <w:rPr>
          <w:rFonts w:ascii="Arial" w:hAnsi="Arial" w:cs="Arial"/>
          <w:sz w:val="22"/>
          <w:szCs w:val="22"/>
        </w:rPr>
        <w:t>,</w:t>
      </w:r>
      <w:r w:rsidRPr="00A2236A">
        <w:rPr>
          <w:rFonts w:ascii="Arial" w:hAnsi="Arial" w:cs="Arial"/>
          <w:sz w:val="22"/>
          <w:szCs w:val="22"/>
        </w:rPr>
        <w:t xml:space="preserve"> vrácením pozbývá faktura splatnost</w:t>
      </w:r>
      <w:r w:rsidR="000B3942" w:rsidRPr="00A2236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498D4B18"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lastRenderedPageBreak/>
        <w:tab/>
      </w:r>
    </w:p>
    <w:p w14:paraId="609E08E6" w14:textId="0D60CB50"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w:t>
      </w:r>
      <w:r w:rsidR="00331B0B">
        <w:rPr>
          <w:rFonts w:ascii="Arial" w:hAnsi="Arial" w:cs="Arial"/>
          <w:sz w:val="22"/>
          <w:szCs w:val="22"/>
        </w:rPr>
        <w:t xml:space="preserve"> </w:t>
      </w:r>
      <w:r w:rsidRPr="008C4CBA">
        <w:rPr>
          <w:rFonts w:ascii="Arial" w:hAnsi="Arial" w:cs="Arial"/>
          <w:sz w:val="22"/>
          <w:szCs w:val="22"/>
        </w:rPr>
        <w:t xml:space="preserve">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64144295" w:rsidR="00EE2C6B" w:rsidRPr="008C4CBA" w:rsidRDefault="00EE2C6B" w:rsidP="00AB4A95">
      <w:pPr>
        <w:ind w:left="450"/>
        <w:rPr>
          <w:rFonts w:ascii="Arial" w:hAnsi="Arial" w:cs="Arial"/>
          <w:sz w:val="22"/>
          <w:szCs w:val="22"/>
        </w:rPr>
      </w:pPr>
      <w:r>
        <w:rPr>
          <w:rFonts w:ascii="Arial" w:hAnsi="Arial" w:cs="Arial"/>
          <w:sz w:val="22"/>
          <w:szCs w:val="22"/>
        </w:rPr>
        <w:t xml:space="preserve">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E22FE7">
        <w:rPr>
          <w:rFonts w:ascii="Arial" w:hAnsi="Arial" w:cs="Arial"/>
          <w:sz w:val="22"/>
          <w:szCs w:val="22"/>
        </w:rPr>
        <w:t>Nejpozději při</w:t>
      </w:r>
      <w:r w:rsidRPr="00C24B17">
        <w:rPr>
          <w:rFonts w:ascii="Arial" w:hAnsi="Arial" w:cs="Arial"/>
          <w:sz w:val="22"/>
          <w:szCs w:val="22"/>
        </w:rPr>
        <w:t xml:space="preserve"> předání staveniště budou objednatelem předána dodavateli pravomocná </w:t>
      </w:r>
      <w:r w:rsidRPr="00C24B17">
        <w:rPr>
          <w:rFonts w:ascii="Arial" w:hAnsi="Arial" w:cs="Arial"/>
          <w:sz w:val="22"/>
          <w:szCs w:val="22"/>
        </w:rPr>
        <w:lastRenderedPageBreak/>
        <w:t>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4E2379C5" w14:textId="77777777" w:rsidR="001E5E69" w:rsidRDefault="001E5E69" w:rsidP="001E5E69">
      <w:pPr>
        <w:autoSpaceDE w:val="0"/>
        <w:autoSpaceDN w:val="0"/>
        <w:spacing w:line="276" w:lineRule="auto"/>
        <w:ind w:left="360"/>
        <w:rPr>
          <w:rFonts w:ascii="Arial" w:hAnsi="Arial" w:cs="Arial"/>
          <w:sz w:val="22"/>
          <w:szCs w:val="22"/>
        </w:rPr>
      </w:pPr>
    </w:p>
    <w:p w14:paraId="0433ABA3" w14:textId="21255A7F"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2" w:history="1">
        <w:r w:rsidRPr="00E22FE7">
          <w:rPr>
            <w:rStyle w:val="Hypertextovodkaz"/>
            <w:rFonts w:ascii="Arial" w:hAnsi="Arial" w:cs="Arial"/>
            <w:sz w:val="22"/>
            <w:szCs w:val="22"/>
          </w:rPr>
          <w:t>vlastislav.janik@ompv.cz</w:t>
        </w:r>
      </w:hyperlink>
    </w:p>
    <w:p w14:paraId="27F96C17" w14:textId="325483B4" w:rsidR="00E22FE7" w:rsidRDefault="00E22FE7" w:rsidP="00E22FE7">
      <w:pPr>
        <w:ind w:firstLine="360"/>
        <w:rPr>
          <w:rFonts w:ascii="Arial" w:hAnsi="Arial" w:cs="Arial"/>
          <w:sz w:val="22"/>
          <w:szCs w:val="22"/>
        </w:rPr>
      </w:pPr>
      <w:r w:rsidRPr="00E22FE7">
        <w:rPr>
          <w:rFonts w:ascii="Arial" w:hAnsi="Arial" w:cs="Arial"/>
          <w:sz w:val="22"/>
          <w:szCs w:val="22"/>
        </w:rPr>
        <w:t xml:space="preserve">Ondřej Parez, tel. 604 612 216, </w:t>
      </w:r>
      <w:hyperlink r:id="rId13" w:history="1">
        <w:r w:rsidRPr="00543C72">
          <w:rPr>
            <w:rStyle w:val="Hypertextovodkaz"/>
            <w:rFonts w:ascii="Arial" w:hAnsi="Arial" w:cs="Arial"/>
            <w:sz w:val="22"/>
            <w:szCs w:val="22"/>
          </w:rPr>
          <w:t>ondrej.parez@ompv.cz</w:t>
        </w:r>
      </w:hyperlink>
    </w:p>
    <w:p w14:paraId="36847CDE" w14:textId="77777777" w:rsidR="00E22FE7" w:rsidRPr="00E22FE7" w:rsidRDefault="00E22FE7" w:rsidP="00E22FE7">
      <w:pPr>
        <w:ind w:firstLine="36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5431B98" w14:textId="6A8667E3" w:rsidR="00B21A66"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B21A66">
        <w:rPr>
          <w:rFonts w:ascii="Arial" w:hAnsi="Arial" w:cs="Arial"/>
          <w:iCs/>
          <w:sz w:val="22"/>
          <w:szCs w:val="22"/>
        </w:rPr>
        <w:t xml:space="preserve">: </w:t>
      </w:r>
    </w:p>
    <w:p w14:paraId="4CF9110B" w14:textId="77777777"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4" w:history="1">
        <w:r w:rsidRPr="00E22FE7">
          <w:rPr>
            <w:rStyle w:val="Hypertextovodkaz"/>
            <w:rFonts w:ascii="Arial" w:hAnsi="Arial" w:cs="Arial"/>
            <w:sz w:val="22"/>
            <w:szCs w:val="22"/>
          </w:rPr>
          <w:t>vlastislav.janik@ompv.cz</w:t>
        </w:r>
      </w:hyperlink>
    </w:p>
    <w:p w14:paraId="7F5A79A1" w14:textId="77777777" w:rsidR="00E22FE7" w:rsidRDefault="00E22FE7" w:rsidP="002662E8">
      <w:pPr>
        <w:autoSpaceDE w:val="0"/>
        <w:autoSpaceDN w:val="0"/>
        <w:spacing w:line="276" w:lineRule="auto"/>
        <w:ind w:firstLine="360"/>
        <w:rPr>
          <w:rFonts w:ascii="Arial" w:hAnsi="Arial" w:cs="Arial"/>
          <w:iCs/>
          <w:sz w:val="22"/>
          <w:szCs w:val="22"/>
        </w:rPr>
      </w:pP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2952ADE1" w14:textId="551E7C01" w:rsidR="004C25CE" w:rsidRDefault="00D60B2E" w:rsidP="00D60B2E">
      <w:pPr>
        <w:autoSpaceDE w:val="0"/>
        <w:autoSpaceDN w:val="0"/>
        <w:spacing w:line="276" w:lineRule="auto"/>
        <w:ind w:left="720"/>
        <w:rPr>
          <w:rFonts w:ascii="Arial" w:hAnsi="Arial" w:cs="Arial"/>
          <w:sz w:val="22"/>
          <w:szCs w:val="22"/>
          <w:highlight w:val="yellow"/>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w:t>
      </w:r>
      <w:r w:rsidRPr="005A636C">
        <w:rPr>
          <w:rFonts w:ascii="Arial" w:hAnsi="Arial" w:cs="Arial"/>
          <w:sz w:val="22"/>
          <w:szCs w:val="22"/>
        </w:rPr>
        <w:lastRenderedPageBreak/>
        <w:t xml:space="preserve">předpisy a českými technickými normami. V případě, že výrobce (nebo dovozce) užitého materiálu nebo zařízení stanoví postup pro montáž, instalaci či aplikaci takového materiálu či zařízení, je dodavatel, </w:t>
      </w:r>
      <w:proofErr w:type="gramStart"/>
      <w:r w:rsidRPr="005A636C">
        <w:rPr>
          <w:rFonts w:ascii="Arial" w:hAnsi="Arial" w:cs="Arial"/>
          <w:sz w:val="22"/>
          <w:szCs w:val="22"/>
        </w:rPr>
        <w:t xml:space="preserve">nedohodnou - </w:t>
      </w:r>
      <w:proofErr w:type="spellStart"/>
      <w:r w:rsidRPr="005A636C">
        <w:rPr>
          <w:rFonts w:ascii="Arial" w:hAnsi="Arial" w:cs="Arial"/>
          <w:sz w:val="22"/>
          <w:szCs w:val="22"/>
        </w:rPr>
        <w:t>li</w:t>
      </w:r>
      <w:proofErr w:type="spellEnd"/>
      <w:proofErr w:type="gram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0F0D93D0"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1D16D2">
        <w:rPr>
          <w:rFonts w:ascii="Arial" w:hAnsi="Arial" w:cs="Arial"/>
          <w:sz w:val="22"/>
          <w:szCs w:val="22"/>
        </w:rPr>
        <w:t>2</w:t>
      </w:r>
      <w:r w:rsidR="001D16D2" w:rsidRPr="005A636C">
        <w:rPr>
          <w:rFonts w:ascii="Arial" w:hAnsi="Arial" w:cs="Arial"/>
          <w:sz w:val="22"/>
          <w:szCs w:val="22"/>
        </w:rPr>
        <w:t>83</w:t>
      </w:r>
      <w:r w:rsidRPr="005A636C">
        <w:rPr>
          <w:rFonts w:ascii="Arial" w:hAnsi="Arial" w:cs="Arial"/>
          <w:sz w:val="22"/>
          <w:szCs w:val="22"/>
        </w:rPr>
        <w:t xml:space="preserve">/2006 Sb., </w:t>
      </w:r>
      <w:r w:rsidR="001D16D2">
        <w:rPr>
          <w:rFonts w:ascii="Arial" w:hAnsi="Arial" w:cs="Arial"/>
          <w:sz w:val="22"/>
          <w:szCs w:val="22"/>
        </w:rPr>
        <w:t>S</w:t>
      </w:r>
      <w:r w:rsidR="001D16D2"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w:t>
      </w:r>
      <w:r w:rsidRPr="005A636C">
        <w:rPr>
          <w:rFonts w:ascii="Arial" w:hAnsi="Arial" w:cs="Arial"/>
          <w:sz w:val="22"/>
          <w:szCs w:val="22"/>
        </w:rPr>
        <w:lastRenderedPageBreak/>
        <w:t>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w:t>
      </w:r>
      <w:r w:rsidRPr="0099084D">
        <w:rPr>
          <w:rFonts w:ascii="Arial" w:hAnsi="Arial" w:cs="Arial"/>
          <w:sz w:val="22"/>
          <w:szCs w:val="22"/>
        </w:rPr>
        <w:lastRenderedPageBreak/>
        <w:t>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lastRenderedPageBreak/>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 xml:space="preserve">bude splňovat veškeré </w:t>
      </w:r>
      <w:r w:rsidR="004B636D" w:rsidRPr="005A636C">
        <w:rPr>
          <w:rFonts w:ascii="Arial" w:hAnsi="Arial" w:cs="Arial"/>
          <w:sz w:val="22"/>
          <w:szCs w:val="22"/>
        </w:rPr>
        <w:lastRenderedPageBreak/>
        <w:t>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015B6873"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w:t>
      </w:r>
      <w:r w:rsidR="000E102E" w:rsidRPr="008C4CBA">
        <w:rPr>
          <w:rFonts w:ascii="Arial" w:hAnsi="Arial" w:cs="Arial"/>
          <w:sz w:val="22"/>
          <w:szCs w:val="22"/>
        </w:rPr>
        <w:lastRenderedPageBreak/>
        <w:t xml:space="preserve">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proofErr w:type="gramStart"/>
      <w:r w:rsidR="00B231E1" w:rsidRPr="008C4CBA">
        <w:rPr>
          <w:rFonts w:ascii="Arial" w:hAnsi="Arial" w:cs="Arial"/>
          <w:sz w:val="22"/>
          <w:szCs w:val="22"/>
        </w:rPr>
        <w:t>jiné nekvalitní provedení díla</w:t>
      </w:r>
      <w:proofErr w:type="gramEnd"/>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proofErr w:type="gramStart"/>
      <w:r w:rsidRPr="008C4CBA">
        <w:rPr>
          <w:rFonts w:ascii="Arial" w:hAnsi="Arial" w:cs="Arial"/>
          <w:sz w:val="22"/>
          <w:szCs w:val="22"/>
        </w:rPr>
        <w:t>dříve,</w:t>
      </w:r>
      <w:proofErr w:type="gramEnd"/>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lastRenderedPageBreak/>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 xml:space="preserve">áhradu škody vzniklé porušením </w:t>
      </w:r>
      <w:r w:rsidRPr="008C4CBA">
        <w:rPr>
          <w:rFonts w:ascii="Arial" w:hAnsi="Arial" w:cs="Arial"/>
          <w:sz w:val="22"/>
          <w:szCs w:val="22"/>
        </w:rPr>
        <w:lastRenderedPageBreak/>
        <w:t>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3"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3"/>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4B20E472"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proofErr w:type="gramStart"/>
      <w:r w:rsidR="003F5870" w:rsidRPr="003F5870">
        <w:rPr>
          <w:rFonts w:ascii="Arial" w:hAnsi="Arial" w:cs="Arial"/>
          <w:sz w:val="22"/>
          <w:szCs w:val="22"/>
        </w:rPr>
        <w:t>10</w:t>
      </w:r>
      <w:r w:rsidR="000D07E0">
        <w:rPr>
          <w:rFonts w:ascii="Arial" w:hAnsi="Arial" w:cs="Arial"/>
          <w:sz w:val="22"/>
          <w:szCs w:val="22"/>
        </w:rPr>
        <w:t xml:space="preserve"> </w:t>
      </w:r>
      <w:r w:rsidR="003F5870" w:rsidRPr="003F5870">
        <w:rPr>
          <w:rFonts w:ascii="Arial" w:hAnsi="Arial" w:cs="Arial"/>
          <w:sz w:val="22"/>
          <w:szCs w:val="22"/>
        </w:rPr>
        <w:t>denní</w:t>
      </w:r>
      <w:proofErr w:type="gramEnd"/>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4DFF58EE" w14:textId="77777777" w:rsidR="00A63BD9" w:rsidRDefault="00A63BD9" w:rsidP="004E07BF">
      <w:pPr>
        <w:pStyle w:val="Odstavecseseznamem"/>
        <w:rPr>
          <w:rFonts w:ascii="Arial" w:hAnsi="Arial" w:cs="Arial"/>
          <w:sz w:val="22"/>
          <w:szCs w:val="22"/>
        </w:rPr>
      </w:pPr>
    </w:p>
    <w:p w14:paraId="4A80E5DE" w14:textId="0737F673"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r>
        <w:rPr>
          <w:rFonts w:ascii="Arial" w:hAnsi="Arial" w:cs="Arial"/>
          <w:sz w:val="22"/>
          <w:szCs w:val="22"/>
        </w:rPr>
        <w:t>.</w:t>
      </w:r>
    </w:p>
    <w:p w14:paraId="253A9599" w14:textId="77777777" w:rsidR="00A63BD9" w:rsidRDefault="00A63BD9" w:rsidP="004E07BF">
      <w:pPr>
        <w:pStyle w:val="Odstavecseseznamem"/>
        <w:rPr>
          <w:rFonts w:ascii="Arial" w:hAnsi="Arial" w:cs="Arial"/>
          <w:sz w:val="22"/>
          <w:szCs w:val="22"/>
        </w:rPr>
      </w:pPr>
    </w:p>
    <w:p w14:paraId="58B4A569" w14:textId="4FA4A81D"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provádět dílo za přímé účasti osob, kterými byla prokázána kvalifikace, je stanovena ve výši 50.000 Kč za každý případ takového porušení.</w:t>
      </w:r>
    </w:p>
    <w:p w14:paraId="6ED394D6" w14:textId="77777777" w:rsidR="00A63BD9" w:rsidRDefault="00A63BD9" w:rsidP="004E07BF">
      <w:pPr>
        <w:pStyle w:val="Odstavecseseznamem"/>
        <w:rPr>
          <w:rFonts w:ascii="Arial" w:hAnsi="Arial" w:cs="Arial"/>
          <w:sz w:val="22"/>
          <w:szCs w:val="22"/>
        </w:rPr>
      </w:pPr>
    </w:p>
    <w:p w14:paraId="21C0719F" w14:textId="2AD85036"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zajištění přítomnosti hlavního stavbyvedoucí na staveništi při vždy v době od 8:00 do 16:00 podle odst. 8.24 je stanovena ve výši 50.000 Kč za každý případ takového porušení.</w:t>
      </w:r>
    </w:p>
    <w:p w14:paraId="6D300BD6" w14:textId="77777777" w:rsidR="00E710C3" w:rsidRPr="008C4CBA" w:rsidRDefault="00E710C3" w:rsidP="00E710C3">
      <w:pPr>
        <w:tabs>
          <w:tab w:val="left" w:pos="360"/>
        </w:tabs>
        <w:autoSpaceDE w:val="0"/>
        <w:rPr>
          <w:rFonts w:ascii="Arial" w:hAnsi="Arial" w:cs="Arial"/>
          <w:sz w:val="22"/>
          <w:szCs w:val="22"/>
        </w:rPr>
      </w:pPr>
    </w:p>
    <w:p w14:paraId="5C5DED4F" w14:textId="66854C33" w:rsidR="00BF5553" w:rsidRDefault="00AE6BF0" w:rsidP="005D7C31">
      <w:pPr>
        <w:tabs>
          <w:tab w:val="left" w:pos="360"/>
        </w:tabs>
        <w:autoSpaceDE w:val="0"/>
        <w:rPr>
          <w:rFonts w:ascii="Arial" w:hAnsi="Arial" w:cs="Arial"/>
          <w:b/>
          <w:bCs/>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p>
    <w:p w14:paraId="1A65CD23" w14:textId="202CDA93"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5D7C31">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num" w:pos="426"/>
        </w:tabs>
        <w:autoSpaceDE w:val="0"/>
        <w:ind w:left="567" w:hanging="567"/>
        <w:rPr>
          <w:rFonts w:ascii="Arial" w:hAnsi="Arial" w:cs="Arial"/>
          <w:color w:val="FF0000"/>
          <w:sz w:val="22"/>
          <w:szCs w:val="22"/>
        </w:rPr>
      </w:pPr>
      <w:r w:rsidRPr="00D62939">
        <w:rPr>
          <w:rFonts w:ascii="Arial" w:hAnsi="Arial" w:cs="Arial"/>
          <w:sz w:val="22"/>
          <w:szCs w:val="22"/>
        </w:rPr>
        <w:t>V případě z</w:t>
      </w:r>
      <w:r w:rsidR="00D168EF" w:rsidRPr="00D62939">
        <w:rPr>
          <w:rFonts w:ascii="Arial" w:hAnsi="Arial" w:cs="Arial"/>
          <w:sz w:val="22"/>
          <w:szCs w:val="22"/>
        </w:rPr>
        <w:t>měny údajů uvedených v záhlaví S</w:t>
      </w:r>
      <w:r w:rsidRPr="00D62939">
        <w:rPr>
          <w:rFonts w:ascii="Arial" w:hAnsi="Arial" w:cs="Arial"/>
          <w:sz w:val="22"/>
          <w:szCs w:val="22"/>
        </w:rPr>
        <w:t xml:space="preserve">mlouvy, týkající se smluvních stran, </w:t>
      </w:r>
      <w:r w:rsidRPr="008C4CBA">
        <w:rPr>
          <w:rFonts w:ascii="Arial" w:hAnsi="Arial" w:cs="Arial"/>
          <w:sz w:val="22"/>
          <w:szCs w:val="22"/>
        </w:rPr>
        <w:t>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 xml:space="preserve">prací </w:t>
      </w:r>
      <w:r w:rsidRPr="00574CB9">
        <w:rPr>
          <w:rFonts w:ascii="Arial" w:hAnsi="Arial" w:cs="Arial"/>
          <w:sz w:val="22"/>
          <w:szCs w:val="22"/>
        </w:rPr>
        <w:lastRenderedPageBreak/>
        <w:t>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70D8AA88" w:rsidR="006B1A51" w:rsidRPr="00E95799" w:rsidRDefault="000E102E" w:rsidP="00E95799">
      <w:pPr>
        <w:numPr>
          <w:ilvl w:val="1"/>
          <w:numId w:val="11"/>
        </w:numPr>
        <w:autoSpaceDE w:val="0"/>
        <w:ind w:left="567" w:hanging="567"/>
        <w:rPr>
          <w:rFonts w:ascii="Arial" w:hAnsi="Arial" w:cs="Arial"/>
          <w:sz w:val="22"/>
          <w:szCs w:val="22"/>
          <w:shd w:val="clear" w:color="auto" w:fill="FFFF00"/>
        </w:rPr>
      </w:pPr>
      <w:r w:rsidRPr="00E95799">
        <w:rPr>
          <w:rFonts w:ascii="Arial" w:hAnsi="Arial" w:cs="Arial"/>
          <w:sz w:val="22"/>
          <w:szCs w:val="22"/>
        </w:rPr>
        <w:t xml:space="preserve">Smluvní strany prohlašují, že si </w:t>
      </w:r>
      <w:r w:rsidR="00D168EF" w:rsidRPr="00E95799">
        <w:rPr>
          <w:rFonts w:ascii="Arial" w:hAnsi="Arial" w:cs="Arial"/>
          <w:sz w:val="22"/>
          <w:szCs w:val="22"/>
        </w:rPr>
        <w:t>S</w:t>
      </w:r>
      <w:r w:rsidRPr="00E95799">
        <w:rPr>
          <w:rFonts w:ascii="Arial" w:hAnsi="Arial" w:cs="Arial"/>
          <w:sz w:val="22"/>
          <w:szCs w:val="22"/>
        </w:rPr>
        <w:t>mlouvu přečetly, s obsahem souhlasí a na důkaz jejich svobodné, pravé a vážné vůle připoj</w:t>
      </w:r>
      <w:r w:rsidR="00D168EF" w:rsidRPr="00E95799">
        <w:rPr>
          <w:rFonts w:ascii="Arial" w:hAnsi="Arial" w:cs="Arial"/>
          <w:sz w:val="22"/>
          <w:szCs w:val="22"/>
        </w:rPr>
        <w:t xml:space="preserve">ují své podpisy. </w:t>
      </w:r>
    </w:p>
    <w:p w14:paraId="16A937DD" w14:textId="6B41BAF0" w:rsidR="006B1A51" w:rsidRPr="008C4CBA" w:rsidRDefault="006B1A51"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4"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4"/>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6AA49BF2" w14:textId="69829FFF"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 xml:space="preserve">V Praze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lastRenderedPageBreak/>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A0FC112"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00AE2B5D" w14:textId="78762455" w:rsidR="00374E0F" w:rsidRDefault="00374E0F" w:rsidP="006B3EF2">
      <w:pPr>
        <w:spacing w:line="276" w:lineRule="auto"/>
        <w:ind w:left="4254"/>
        <w:jc w:val="center"/>
        <w:rPr>
          <w:rFonts w:ascii="Arial" w:hAnsi="Arial" w:cs="Arial"/>
          <w:sz w:val="22"/>
          <w:szCs w:val="22"/>
        </w:rPr>
      </w:pPr>
      <w:r>
        <w:rPr>
          <w:rFonts w:ascii="Arial" w:hAnsi="Arial" w:cs="Arial"/>
          <w:sz w:val="22"/>
          <w:szCs w:val="22"/>
        </w:rPr>
        <w:t xml:space="preserve">Ing. </w:t>
      </w:r>
      <w:r w:rsidR="00E22FE7">
        <w:rPr>
          <w:rFonts w:ascii="Arial" w:hAnsi="Arial" w:cs="Arial"/>
          <w:sz w:val="22"/>
          <w:szCs w:val="22"/>
        </w:rPr>
        <w:t>Vlastislav Janík</w:t>
      </w:r>
    </w:p>
    <w:p w14:paraId="04E8E558" w14:textId="46814430" w:rsidR="00374E0F" w:rsidRDefault="00374E0F" w:rsidP="006B3EF2">
      <w:pPr>
        <w:spacing w:line="276" w:lineRule="auto"/>
        <w:ind w:left="4254"/>
        <w:jc w:val="center"/>
        <w:rPr>
          <w:rFonts w:ascii="Arial" w:hAnsi="Arial" w:cs="Arial"/>
          <w:bCs/>
          <w:sz w:val="22"/>
          <w:szCs w:val="22"/>
        </w:rPr>
      </w:pPr>
      <w:r>
        <w:rPr>
          <w:rFonts w:ascii="Arial" w:hAnsi="Arial" w:cs="Arial"/>
          <w:sz w:val="22"/>
          <w:szCs w:val="22"/>
        </w:rPr>
        <w:t xml:space="preserve">Ředitel </w:t>
      </w:r>
      <w:r w:rsidR="00E22FE7">
        <w:rPr>
          <w:rFonts w:ascii="Arial" w:hAnsi="Arial" w:cs="Arial"/>
          <w:sz w:val="22"/>
          <w:szCs w:val="22"/>
        </w:rPr>
        <w:t>PO</w:t>
      </w:r>
    </w:p>
    <w:p w14:paraId="7077DE5A" w14:textId="77777777" w:rsidR="00374E0F" w:rsidRDefault="00374E0F" w:rsidP="006B3EF2">
      <w:pPr>
        <w:spacing w:line="276" w:lineRule="auto"/>
        <w:ind w:left="4254"/>
        <w:jc w:val="center"/>
        <w:rPr>
          <w:rFonts w:ascii="Arial" w:hAnsi="Arial" w:cs="Arial"/>
          <w:bCs/>
          <w:sz w:val="22"/>
          <w:szCs w:val="22"/>
        </w:rPr>
      </w:pPr>
    </w:p>
    <w:p w14:paraId="5133E38F" w14:textId="77777777" w:rsidR="00374E0F" w:rsidRDefault="00374E0F" w:rsidP="006B3EF2">
      <w:pPr>
        <w:spacing w:line="276" w:lineRule="auto"/>
        <w:ind w:left="4254"/>
        <w:jc w:val="center"/>
        <w:rPr>
          <w:rFonts w:ascii="Arial" w:hAnsi="Arial" w:cs="Arial"/>
          <w:bCs/>
          <w:sz w:val="22"/>
          <w:szCs w:val="22"/>
        </w:rPr>
      </w:pPr>
    </w:p>
    <w:p w14:paraId="7CB36393" w14:textId="77777777" w:rsidR="00374E0F" w:rsidRDefault="00374E0F" w:rsidP="006B3EF2">
      <w:pPr>
        <w:spacing w:line="276" w:lineRule="auto"/>
        <w:ind w:left="4254"/>
        <w:jc w:val="center"/>
        <w:rPr>
          <w:rFonts w:ascii="Arial" w:hAnsi="Arial" w:cs="Arial"/>
          <w:bCs/>
          <w:sz w:val="22"/>
          <w:szCs w:val="22"/>
        </w:rPr>
      </w:pPr>
    </w:p>
    <w:p w14:paraId="5ED77DA4" w14:textId="77777777" w:rsidR="00374E0F" w:rsidRDefault="00374E0F" w:rsidP="006B3EF2">
      <w:pPr>
        <w:spacing w:line="276" w:lineRule="auto"/>
        <w:ind w:left="4254"/>
        <w:jc w:val="center"/>
        <w:rPr>
          <w:rFonts w:ascii="Arial" w:hAnsi="Arial" w:cs="Arial"/>
          <w:bCs/>
          <w:sz w:val="22"/>
          <w:szCs w:val="22"/>
        </w:rPr>
      </w:pPr>
    </w:p>
    <w:p w14:paraId="56DC3E5D" w14:textId="77777777" w:rsidR="00374E0F" w:rsidRDefault="00374E0F" w:rsidP="006B3EF2">
      <w:pPr>
        <w:spacing w:line="276" w:lineRule="auto"/>
        <w:ind w:left="4254"/>
        <w:jc w:val="center"/>
        <w:rPr>
          <w:rFonts w:ascii="Arial" w:hAnsi="Arial" w:cs="Arial"/>
          <w:bCs/>
          <w:sz w:val="22"/>
          <w:szCs w:val="22"/>
        </w:rPr>
      </w:pPr>
    </w:p>
    <w:p w14:paraId="7B62EA90" w14:textId="77777777" w:rsidR="00374E0F" w:rsidRDefault="00374E0F" w:rsidP="006B3EF2">
      <w:pPr>
        <w:spacing w:line="276" w:lineRule="auto"/>
        <w:ind w:left="4254"/>
        <w:jc w:val="center"/>
        <w:rPr>
          <w:rFonts w:ascii="Arial" w:hAnsi="Arial" w:cs="Arial"/>
          <w:bCs/>
          <w:sz w:val="22"/>
          <w:szCs w:val="22"/>
        </w:rPr>
      </w:pPr>
    </w:p>
    <w:p w14:paraId="14B8476D" w14:textId="77777777" w:rsidR="00374E0F" w:rsidRDefault="00374E0F" w:rsidP="006B3EF2">
      <w:pPr>
        <w:spacing w:line="276" w:lineRule="auto"/>
        <w:ind w:left="4254"/>
        <w:jc w:val="center"/>
        <w:rPr>
          <w:rFonts w:ascii="Arial" w:hAnsi="Arial" w:cs="Arial"/>
          <w:bCs/>
          <w:sz w:val="22"/>
          <w:szCs w:val="22"/>
        </w:rPr>
      </w:pPr>
    </w:p>
    <w:p w14:paraId="100F376E" w14:textId="77777777" w:rsidR="00374E0F" w:rsidRDefault="00374E0F" w:rsidP="006B3EF2">
      <w:pPr>
        <w:spacing w:line="276" w:lineRule="auto"/>
        <w:ind w:left="4254"/>
        <w:jc w:val="center"/>
        <w:rPr>
          <w:rFonts w:ascii="Arial" w:hAnsi="Arial" w:cs="Arial"/>
          <w:bCs/>
          <w:sz w:val="22"/>
          <w:szCs w:val="22"/>
        </w:rPr>
      </w:pPr>
    </w:p>
    <w:p w14:paraId="28E02C24" w14:textId="77777777" w:rsidR="00374E0F" w:rsidRDefault="00374E0F" w:rsidP="006B3EF2">
      <w:pPr>
        <w:spacing w:line="276" w:lineRule="auto"/>
        <w:ind w:left="4254"/>
        <w:jc w:val="center"/>
        <w:rPr>
          <w:rFonts w:ascii="Arial" w:hAnsi="Arial" w:cs="Arial"/>
          <w:bCs/>
          <w:sz w:val="22"/>
          <w:szCs w:val="22"/>
        </w:rPr>
      </w:pPr>
    </w:p>
    <w:p w14:paraId="0D4D570E" w14:textId="77777777" w:rsidR="00374E0F" w:rsidRDefault="00374E0F" w:rsidP="006B3EF2">
      <w:pPr>
        <w:spacing w:line="276" w:lineRule="auto"/>
        <w:ind w:left="4254"/>
        <w:jc w:val="center"/>
        <w:rPr>
          <w:rFonts w:ascii="Arial" w:hAnsi="Arial" w:cs="Arial"/>
          <w:bCs/>
          <w:sz w:val="22"/>
          <w:szCs w:val="22"/>
        </w:rPr>
      </w:pPr>
    </w:p>
    <w:p w14:paraId="14C79C1C" w14:textId="77777777" w:rsidR="00374E0F" w:rsidRDefault="00374E0F" w:rsidP="006B3EF2">
      <w:pPr>
        <w:spacing w:line="276" w:lineRule="auto"/>
        <w:ind w:left="4254"/>
        <w:jc w:val="center"/>
        <w:rPr>
          <w:rFonts w:ascii="Arial" w:hAnsi="Arial" w:cs="Arial"/>
          <w:bCs/>
          <w:sz w:val="22"/>
          <w:szCs w:val="22"/>
        </w:rPr>
      </w:pPr>
    </w:p>
    <w:p w14:paraId="0679CFFB" w14:textId="77777777" w:rsidR="00374E0F" w:rsidRDefault="00374E0F" w:rsidP="006B3EF2">
      <w:pPr>
        <w:spacing w:line="276" w:lineRule="auto"/>
        <w:ind w:left="4254"/>
        <w:jc w:val="center"/>
        <w:rPr>
          <w:rFonts w:ascii="Arial" w:hAnsi="Arial" w:cs="Arial"/>
          <w:bCs/>
          <w:sz w:val="22"/>
          <w:szCs w:val="22"/>
        </w:rPr>
      </w:pPr>
    </w:p>
    <w:p w14:paraId="660C1B5C" w14:textId="77777777" w:rsidR="00374E0F" w:rsidRDefault="00374E0F" w:rsidP="006B3EF2">
      <w:pPr>
        <w:spacing w:line="276" w:lineRule="auto"/>
        <w:ind w:left="4254"/>
        <w:jc w:val="center"/>
        <w:rPr>
          <w:rFonts w:ascii="Arial" w:hAnsi="Arial" w:cs="Arial"/>
          <w:bCs/>
          <w:sz w:val="22"/>
          <w:szCs w:val="22"/>
        </w:rPr>
      </w:pPr>
    </w:p>
    <w:p w14:paraId="220F04D5" w14:textId="62316433" w:rsidR="00374E0F" w:rsidRDefault="00D9674F" w:rsidP="006B3EF2">
      <w:pPr>
        <w:spacing w:line="276" w:lineRule="auto"/>
        <w:ind w:left="4254"/>
        <w:jc w:val="center"/>
        <w:rPr>
          <w:rFonts w:ascii="Arial" w:hAnsi="Arial" w:cs="Arial"/>
          <w:bCs/>
          <w:sz w:val="22"/>
          <w:szCs w:val="22"/>
        </w:rPr>
      </w:pPr>
      <w:r>
        <w:rPr>
          <w:rFonts w:ascii="Arial" w:hAnsi="Arial" w:cs="Arial"/>
          <w:bCs/>
          <w:sz w:val="22"/>
          <w:szCs w:val="22"/>
        </w:rPr>
        <w:br w:type="column"/>
      </w:r>
    </w:p>
    <w:p w14:paraId="6E7A74D8" w14:textId="77777777" w:rsidR="00374E0F" w:rsidRDefault="00374E0F" w:rsidP="006B3EF2">
      <w:pPr>
        <w:spacing w:line="276" w:lineRule="auto"/>
        <w:ind w:left="4254"/>
        <w:jc w:val="center"/>
        <w:rPr>
          <w:rFonts w:ascii="Arial" w:hAnsi="Arial" w:cs="Arial"/>
          <w:bCs/>
          <w:sz w:val="22"/>
          <w:szCs w:val="22"/>
        </w:rPr>
      </w:pPr>
    </w:p>
    <w:p w14:paraId="637F4A5B" w14:textId="77777777" w:rsidR="00374E0F" w:rsidRDefault="00374E0F" w:rsidP="006B3EF2">
      <w:pPr>
        <w:spacing w:line="276" w:lineRule="auto"/>
        <w:ind w:left="4254"/>
        <w:jc w:val="center"/>
        <w:rPr>
          <w:rFonts w:ascii="Arial" w:hAnsi="Arial" w:cs="Arial"/>
          <w:bCs/>
          <w:sz w:val="22"/>
          <w:szCs w:val="22"/>
        </w:rPr>
      </w:pPr>
    </w:p>
    <w:p w14:paraId="19E3D477" w14:textId="6AE16226" w:rsidR="00786EAE" w:rsidRPr="00786EAE" w:rsidRDefault="00786EAE" w:rsidP="00374E0F">
      <w:pPr>
        <w:spacing w:line="276" w:lineRule="auto"/>
        <w:ind w:left="-142"/>
        <w:jc w:val="center"/>
        <w:rPr>
          <w:rFonts w:ascii="Arial" w:hAnsi="Arial" w:cs="Arial"/>
          <w:b/>
          <w:bCs/>
          <w:sz w:val="22"/>
          <w:szCs w:val="22"/>
        </w:rPr>
      </w:pPr>
      <w:r w:rsidRPr="00786EAE">
        <w:rPr>
          <w:rFonts w:ascii="Arial" w:hAnsi="Arial" w:cs="Arial"/>
          <w:b/>
          <w:bCs/>
          <w:sz w:val="22"/>
          <w:szCs w:val="22"/>
        </w:rPr>
        <w:t xml:space="preserve">F O R M U L Á Ř   P R O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Z M Ě N    S T A V B Y</w:t>
      </w:r>
    </w:p>
    <w:p w14:paraId="341947CB" w14:textId="758083D4" w:rsidR="00786EAE" w:rsidRDefault="00374E0F" w:rsidP="00374E0F">
      <w:pPr>
        <w:spacing w:line="276" w:lineRule="auto"/>
        <w:ind w:left="-142"/>
        <w:jc w:val="center"/>
        <w:rPr>
          <w:rFonts w:ascii="Arial" w:hAnsi="Arial" w:cs="Arial"/>
          <w:b/>
        </w:rPr>
      </w:pPr>
      <w:r w:rsidRPr="0083537E">
        <w:rPr>
          <w:rFonts w:ascii="Arial" w:hAnsi="Arial" w:cs="Arial"/>
          <w:b/>
        </w:rPr>
        <w:t>„</w:t>
      </w:r>
      <w:r w:rsidRPr="00BB762E">
        <w:rPr>
          <w:rFonts w:ascii="Arial" w:hAnsi="Arial" w:cs="Arial"/>
          <w:b/>
          <w:bCs/>
          <w:sz w:val="22"/>
          <w:szCs w:val="22"/>
        </w:rPr>
        <w:t>CNC centrum a svářečská škola v SOU Nové Strašecí – stavební úpravy</w:t>
      </w:r>
      <w:r w:rsidR="00331B0B">
        <w:rPr>
          <w:rFonts w:ascii="Arial" w:hAnsi="Arial" w:cs="Arial"/>
          <w:b/>
          <w:bCs/>
          <w:sz w:val="22"/>
          <w:szCs w:val="22"/>
        </w:rPr>
        <w:t xml:space="preserve"> </w:t>
      </w:r>
      <w:r w:rsidR="00331B0B" w:rsidRPr="00331B0B">
        <w:rPr>
          <w:rFonts w:ascii="Arial" w:hAnsi="Arial" w:cs="Arial"/>
          <w:b/>
          <w:bCs/>
          <w:sz w:val="22"/>
          <w:szCs w:val="22"/>
        </w:rPr>
        <w:t>OPAKOVÁNÍ</w:t>
      </w:r>
      <w:r w:rsidRPr="0083537E">
        <w:rPr>
          <w:rFonts w:ascii="Arial" w:hAnsi="Arial" w:cs="Arial"/>
          <w:b/>
        </w:rPr>
        <w:t>“</w:t>
      </w:r>
    </w:p>
    <w:p w14:paraId="5D28F1A1" w14:textId="77777777" w:rsidR="00374E0F" w:rsidRDefault="00374E0F" w:rsidP="00374E0F">
      <w:pPr>
        <w:spacing w:line="276" w:lineRule="auto"/>
        <w:ind w:left="-142"/>
        <w:jc w:val="center"/>
        <w:rPr>
          <w:rFonts w:ascii="Arial" w:hAnsi="Arial" w:cs="Arial"/>
          <w:b/>
        </w:rPr>
      </w:pPr>
    </w:p>
    <w:p w14:paraId="23B647AE" w14:textId="77777777" w:rsidR="00374E0F" w:rsidRPr="00786EAE" w:rsidRDefault="00374E0F" w:rsidP="00374E0F">
      <w:pPr>
        <w:spacing w:line="276" w:lineRule="auto"/>
        <w:ind w:left="-142"/>
        <w:jc w:val="center"/>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D3BA6">
      <w:footerReference w:type="default" r:id="rId15"/>
      <w:footnotePr>
        <w:numFmt w:val="chicago"/>
      </w:footnotePr>
      <w:pgSz w:w="11906" w:h="16838"/>
      <w:pgMar w:top="1062"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8B84" w14:textId="77777777" w:rsidR="00E65FC2" w:rsidRDefault="00E65FC2">
      <w:pPr>
        <w:spacing w:line="240" w:lineRule="auto"/>
      </w:pPr>
      <w:r>
        <w:separator/>
      </w:r>
    </w:p>
  </w:endnote>
  <w:endnote w:type="continuationSeparator" w:id="0">
    <w:p w14:paraId="05E992E0" w14:textId="77777777" w:rsidR="00E65FC2" w:rsidRDefault="00E65FC2">
      <w:pPr>
        <w:spacing w:line="240" w:lineRule="auto"/>
      </w:pPr>
      <w:r>
        <w:continuationSeparator/>
      </w:r>
    </w:p>
  </w:endnote>
  <w:endnote w:type="continuationNotice" w:id="1">
    <w:p w14:paraId="5A398A46" w14:textId="77777777" w:rsidR="00E65FC2" w:rsidRDefault="00E65F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7083FEA0" w:rsidR="00E65FC2" w:rsidRDefault="00E65FC2" w:rsidP="009F76EA">
    <w:pPr>
      <w:pStyle w:val="Zpat"/>
      <w:jc w:val="center"/>
    </w:pPr>
    <w:r>
      <w:t xml:space="preserve">- </w:t>
    </w:r>
    <w:r>
      <w:fldChar w:fldCharType="begin"/>
    </w:r>
    <w:r>
      <w:instrText>PAGE   \* MERGEFORMAT</w:instrText>
    </w:r>
    <w:r>
      <w:fldChar w:fldCharType="separate"/>
    </w:r>
    <w:r w:rsidR="00B83EC4" w:rsidRPr="00B83EC4">
      <w:rPr>
        <w:noProof/>
        <w:lang w:val="cs-CZ"/>
      </w:rPr>
      <w:t>23</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2EAB" w14:textId="77777777" w:rsidR="00E65FC2" w:rsidRDefault="00E65FC2">
      <w:pPr>
        <w:spacing w:line="240" w:lineRule="auto"/>
      </w:pPr>
      <w:r>
        <w:separator/>
      </w:r>
    </w:p>
  </w:footnote>
  <w:footnote w:type="continuationSeparator" w:id="0">
    <w:p w14:paraId="6FC32893" w14:textId="77777777" w:rsidR="00E65FC2" w:rsidRDefault="00E65FC2">
      <w:pPr>
        <w:spacing w:line="240" w:lineRule="auto"/>
      </w:pPr>
      <w:r>
        <w:continuationSeparator/>
      </w:r>
    </w:p>
  </w:footnote>
  <w:footnote w:type="continuationNotice" w:id="1">
    <w:p w14:paraId="56A9FF0E" w14:textId="77777777" w:rsidR="00E65FC2" w:rsidRDefault="00E65FC2">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5DCCA08"/>
    <w:lvl w:ilvl="0">
      <w:start w:val="14"/>
      <w:numFmt w:val="decimal"/>
      <w:lvlText w:val="%1."/>
      <w:lvlJc w:val="left"/>
      <w:pPr>
        <w:tabs>
          <w:tab w:val="num" w:pos="720"/>
        </w:tabs>
        <w:ind w:left="720" w:hanging="360"/>
      </w:pPr>
      <w:rPr>
        <w:rFonts w:hint="default"/>
      </w:rPr>
    </w:lvl>
    <w:lvl w:ilvl="1">
      <w:start w:val="1"/>
      <w:numFmt w:val="decimal"/>
      <w:lvlText w:val="14.%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3893182">
    <w:abstractNumId w:val="1"/>
  </w:num>
  <w:num w:numId="2" w16cid:durableId="101999026">
    <w:abstractNumId w:val="3"/>
  </w:num>
  <w:num w:numId="3" w16cid:durableId="678973191">
    <w:abstractNumId w:val="34"/>
  </w:num>
  <w:num w:numId="4" w16cid:durableId="38630155">
    <w:abstractNumId w:val="45"/>
  </w:num>
  <w:num w:numId="5" w16cid:durableId="240335934">
    <w:abstractNumId w:val="46"/>
  </w:num>
  <w:num w:numId="6" w16cid:durableId="631449522">
    <w:abstractNumId w:val="47"/>
  </w:num>
  <w:num w:numId="7" w16cid:durableId="743718234">
    <w:abstractNumId w:val="60"/>
  </w:num>
  <w:num w:numId="8" w16cid:durableId="1741710450">
    <w:abstractNumId w:val="54"/>
  </w:num>
  <w:num w:numId="9" w16cid:durableId="950748759">
    <w:abstractNumId w:val="67"/>
  </w:num>
  <w:num w:numId="10" w16cid:durableId="1327975095">
    <w:abstractNumId w:val="48"/>
  </w:num>
  <w:num w:numId="11" w16cid:durableId="229930758">
    <w:abstractNumId w:val="64"/>
  </w:num>
  <w:num w:numId="12" w16cid:durableId="268126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86917">
    <w:abstractNumId w:val="58"/>
  </w:num>
  <w:num w:numId="14" w16cid:durableId="42606087">
    <w:abstractNumId w:val="63"/>
  </w:num>
  <w:num w:numId="15" w16cid:durableId="1649170854">
    <w:abstractNumId w:val="62"/>
  </w:num>
  <w:num w:numId="16" w16cid:durableId="855851607">
    <w:abstractNumId w:val="61"/>
  </w:num>
  <w:num w:numId="17" w16cid:durableId="1816292982">
    <w:abstractNumId w:val="71"/>
  </w:num>
  <w:num w:numId="18" w16cid:durableId="1317030287">
    <w:abstractNumId w:val="53"/>
  </w:num>
  <w:num w:numId="19" w16cid:durableId="2083678816">
    <w:abstractNumId w:val="72"/>
  </w:num>
  <w:num w:numId="20" w16cid:durableId="652104536">
    <w:abstractNumId w:val="65"/>
  </w:num>
  <w:num w:numId="21" w16cid:durableId="1622303416">
    <w:abstractNumId w:val="69"/>
  </w:num>
  <w:num w:numId="22" w16cid:durableId="1123504306">
    <w:abstractNumId w:val="68"/>
  </w:num>
  <w:num w:numId="23" w16cid:durableId="419790582">
    <w:abstractNumId w:val="59"/>
  </w:num>
  <w:num w:numId="24" w16cid:durableId="1607544241">
    <w:abstractNumId w:val="10"/>
  </w:num>
  <w:num w:numId="25" w16cid:durableId="1871453570">
    <w:abstractNumId w:val="14"/>
  </w:num>
  <w:num w:numId="26" w16cid:durableId="1574438029">
    <w:abstractNumId w:val="70"/>
  </w:num>
  <w:num w:numId="27" w16cid:durableId="526333266">
    <w:abstractNumId w:val="0"/>
  </w:num>
  <w:num w:numId="28" w16cid:durableId="309287048">
    <w:abstractNumId w:val="49"/>
  </w:num>
  <w:num w:numId="29" w16cid:durableId="1572080226">
    <w:abstractNumId w:val="50"/>
  </w:num>
  <w:num w:numId="30" w16cid:durableId="1473594972">
    <w:abstractNumId w:val="11"/>
  </w:num>
  <w:num w:numId="31" w16cid:durableId="30688874">
    <w:abstractNumId w:val="12"/>
  </w:num>
  <w:num w:numId="32" w16cid:durableId="1689602206">
    <w:abstractNumId w:val="19"/>
  </w:num>
  <w:num w:numId="33" w16cid:durableId="532962935">
    <w:abstractNumId w:val="25"/>
  </w:num>
  <w:num w:numId="34" w16cid:durableId="1147088077">
    <w:abstractNumId w:val="26"/>
  </w:num>
  <w:num w:numId="35" w16cid:durableId="269438090">
    <w:abstractNumId w:val="28"/>
  </w:num>
  <w:num w:numId="36" w16cid:durableId="1308240440">
    <w:abstractNumId w:val="29"/>
  </w:num>
  <w:num w:numId="37" w16cid:durableId="1807812618">
    <w:abstractNumId w:val="30"/>
  </w:num>
  <w:num w:numId="38" w16cid:durableId="165901150">
    <w:abstractNumId w:val="38"/>
  </w:num>
  <w:num w:numId="39" w16cid:durableId="1593123070">
    <w:abstractNumId w:val="43"/>
  </w:num>
  <w:num w:numId="40" w16cid:durableId="922683106">
    <w:abstractNumId w:val="66"/>
  </w:num>
  <w:num w:numId="41" w16cid:durableId="1216239897">
    <w:abstractNumId w:val="52"/>
  </w:num>
  <w:num w:numId="42" w16cid:durableId="745686923">
    <w:abstractNumId w:val="57"/>
  </w:num>
  <w:num w:numId="43" w16cid:durableId="1119377049">
    <w:abstractNumId w:val="27"/>
  </w:num>
  <w:num w:numId="44" w16cid:durableId="453016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377233">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577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429"/>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2F77"/>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36AB"/>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6D2"/>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5E69"/>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279DD"/>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711"/>
    <w:rsid w:val="002938C7"/>
    <w:rsid w:val="0029394B"/>
    <w:rsid w:val="00293A1C"/>
    <w:rsid w:val="00294C16"/>
    <w:rsid w:val="00294C2D"/>
    <w:rsid w:val="002966B3"/>
    <w:rsid w:val="00297359"/>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3B1F"/>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1B0B"/>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4E0F"/>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0C1"/>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34FE"/>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624"/>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5E32"/>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07BF"/>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4B5D"/>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620"/>
    <w:rsid w:val="0053070A"/>
    <w:rsid w:val="00531236"/>
    <w:rsid w:val="00531386"/>
    <w:rsid w:val="00531D34"/>
    <w:rsid w:val="005326FA"/>
    <w:rsid w:val="00532B45"/>
    <w:rsid w:val="00532C33"/>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94F"/>
    <w:rsid w:val="005C2D65"/>
    <w:rsid w:val="005C30FB"/>
    <w:rsid w:val="005C3C5E"/>
    <w:rsid w:val="005C4B0D"/>
    <w:rsid w:val="005C50A0"/>
    <w:rsid w:val="005C51DB"/>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D7C31"/>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7EA"/>
    <w:rsid w:val="00604D29"/>
    <w:rsid w:val="0060678B"/>
    <w:rsid w:val="00606CA9"/>
    <w:rsid w:val="00607BAB"/>
    <w:rsid w:val="006104F2"/>
    <w:rsid w:val="00610830"/>
    <w:rsid w:val="00610DC7"/>
    <w:rsid w:val="006116C7"/>
    <w:rsid w:val="006118A4"/>
    <w:rsid w:val="00611CB1"/>
    <w:rsid w:val="00612877"/>
    <w:rsid w:val="00612BAC"/>
    <w:rsid w:val="006136F9"/>
    <w:rsid w:val="0061444F"/>
    <w:rsid w:val="00614E59"/>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5102"/>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2376"/>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4E73"/>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91A"/>
    <w:rsid w:val="00811E5F"/>
    <w:rsid w:val="008127DD"/>
    <w:rsid w:val="0081299C"/>
    <w:rsid w:val="00813126"/>
    <w:rsid w:val="00813565"/>
    <w:rsid w:val="00813E85"/>
    <w:rsid w:val="008141DC"/>
    <w:rsid w:val="00814211"/>
    <w:rsid w:val="00814472"/>
    <w:rsid w:val="00814564"/>
    <w:rsid w:val="00814681"/>
    <w:rsid w:val="00814A22"/>
    <w:rsid w:val="00814DAE"/>
    <w:rsid w:val="008173B7"/>
    <w:rsid w:val="00820153"/>
    <w:rsid w:val="0082205A"/>
    <w:rsid w:val="008220D5"/>
    <w:rsid w:val="0082280B"/>
    <w:rsid w:val="00823A71"/>
    <w:rsid w:val="00824946"/>
    <w:rsid w:val="0082540E"/>
    <w:rsid w:val="00826490"/>
    <w:rsid w:val="008268B5"/>
    <w:rsid w:val="00826F7C"/>
    <w:rsid w:val="00826F80"/>
    <w:rsid w:val="00830C30"/>
    <w:rsid w:val="00831318"/>
    <w:rsid w:val="00831B1A"/>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97F4A"/>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2C2"/>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3DD9"/>
    <w:rsid w:val="00A1425E"/>
    <w:rsid w:val="00A14780"/>
    <w:rsid w:val="00A14960"/>
    <w:rsid w:val="00A14A14"/>
    <w:rsid w:val="00A155A2"/>
    <w:rsid w:val="00A15FE9"/>
    <w:rsid w:val="00A1663B"/>
    <w:rsid w:val="00A16E57"/>
    <w:rsid w:val="00A20171"/>
    <w:rsid w:val="00A21792"/>
    <w:rsid w:val="00A21D0D"/>
    <w:rsid w:val="00A21D84"/>
    <w:rsid w:val="00A22200"/>
    <w:rsid w:val="00A2236A"/>
    <w:rsid w:val="00A2388A"/>
    <w:rsid w:val="00A23CD3"/>
    <w:rsid w:val="00A244AB"/>
    <w:rsid w:val="00A2454B"/>
    <w:rsid w:val="00A24F4D"/>
    <w:rsid w:val="00A2770A"/>
    <w:rsid w:val="00A27A25"/>
    <w:rsid w:val="00A3082F"/>
    <w:rsid w:val="00A3104F"/>
    <w:rsid w:val="00A3132D"/>
    <w:rsid w:val="00A3137C"/>
    <w:rsid w:val="00A3156D"/>
    <w:rsid w:val="00A32A80"/>
    <w:rsid w:val="00A32D72"/>
    <w:rsid w:val="00A33017"/>
    <w:rsid w:val="00A333DE"/>
    <w:rsid w:val="00A3453C"/>
    <w:rsid w:val="00A34C2D"/>
    <w:rsid w:val="00A34E2B"/>
    <w:rsid w:val="00A35E05"/>
    <w:rsid w:val="00A36034"/>
    <w:rsid w:val="00A375BF"/>
    <w:rsid w:val="00A41B58"/>
    <w:rsid w:val="00A4210A"/>
    <w:rsid w:val="00A45E2A"/>
    <w:rsid w:val="00A46052"/>
    <w:rsid w:val="00A4691C"/>
    <w:rsid w:val="00A46F1B"/>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3BD9"/>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887"/>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A95"/>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11F"/>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067A"/>
    <w:rsid w:val="00B0182C"/>
    <w:rsid w:val="00B01B35"/>
    <w:rsid w:val="00B01D1D"/>
    <w:rsid w:val="00B02848"/>
    <w:rsid w:val="00B03682"/>
    <w:rsid w:val="00B04427"/>
    <w:rsid w:val="00B04918"/>
    <w:rsid w:val="00B066FA"/>
    <w:rsid w:val="00B06E73"/>
    <w:rsid w:val="00B10D2C"/>
    <w:rsid w:val="00B11FDA"/>
    <w:rsid w:val="00B12535"/>
    <w:rsid w:val="00B13F07"/>
    <w:rsid w:val="00B13FE6"/>
    <w:rsid w:val="00B14171"/>
    <w:rsid w:val="00B14BB4"/>
    <w:rsid w:val="00B14E6F"/>
    <w:rsid w:val="00B155AF"/>
    <w:rsid w:val="00B157EA"/>
    <w:rsid w:val="00B16809"/>
    <w:rsid w:val="00B177D2"/>
    <w:rsid w:val="00B1791C"/>
    <w:rsid w:val="00B2031C"/>
    <w:rsid w:val="00B203A6"/>
    <w:rsid w:val="00B2075D"/>
    <w:rsid w:val="00B213DE"/>
    <w:rsid w:val="00B21957"/>
    <w:rsid w:val="00B21A66"/>
    <w:rsid w:val="00B21D84"/>
    <w:rsid w:val="00B21E29"/>
    <w:rsid w:val="00B22B31"/>
    <w:rsid w:val="00B231E1"/>
    <w:rsid w:val="00B23A1B"/>
    <w:rsid w:val="00B23C26"/>
    <w:rsid w:val="00B261C0"/>
    <w:rsid w:val="00B2779E"/>
    <w:rsid w:val="00B27E33"/>
    <w:rsid w:val="00B30108"/>
    <w:rsid w:val="00B301E9"/>
    <w:rsid w:val="00B3156C"/>
    <w:rsid w:val="00B32922"/>
    <w:rsid w:val="00B32BA4"/>
    <w:rsid w:val="00B332DA"/>
    <w:rsid w:val="00B33842"/>
    <w:rsid w:val="00B34106"/>
    <w:rsid w:val="00B34DB7"/>
    <w:rsid w:val="00B35D0D"/>
    <w:rsid w:val="00B36A16"/>
    <w:rsid w:val="00B37291"/>
    <w:rsid w:val="00B3738A"/>
    <w:rsid w:val="00B373AC"/>
    <w:rsid w:val="00B3785C"/>
    <w:rsid w:val="00B37BBD"/>
    <w:rsid w:val="00B40258"/>
    <w:rsid w:val="00B40877"/>
    <w:rsid w:val="00B4128B"/>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2924"/>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3D57"/>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3A89"/>
    <w:rsid w:val="00BF4792"/>
    <w:rsid w:val="00BF50BD"/>
    <w:rsid w:val="00BF5553"/>
    <w:rsid w:val="00BF5AE8"/>
    <w:rsid w:val="00BF5BD1"/>
    <w:rsid w:val="00BF78CF"/>
    <w:rsid w:val="00C004E4"/>
    <w:rsid w:val="00C0082F"/>
    <w:rsid w:val="00C00BCB"/>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4EC2"/>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26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2939"/>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74F"/>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9D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2FE7"/>
    <w:rsid w:val="00E23727"/>
    <w:rsid w:val="00E23976"/>
    <w:rsid w:val="00E2418A"/>
    <w:rsid w:val="00E247D1"/>
    <w:rsid w:val="00E26187"/>
    <w:rsid w:val="00E261C5"/>
    <w:rsid w:val="00E26C0B"/>
    <w:rsid w:val="00E2768C"/>
    <w:rsid w:val="00E3072D"/>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5799"/>
    <w:rsid w:val="00E96627"/>
    <w:rsid w:val="00E96849"/>
    <w:rsid w:val="00EA0307"/>
    <w:rsid w:val="00EA16A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BA6"/>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0695"/>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5E1E"/>
    <w:rsid w:val="00F566F5"/>
    <w:rsid w:val="00F56BFA"/>
    <w:rsid w:val="00F57383"/>
    <w:rsid w:val="00F57D6E"/>
    <w:rsid w:val="00F602C3"/>
    <w:rsid w:val="00F608E3"/>
    <w:rsid w:val="00F60D1D"/>
    <w:rsid w:val="00F610CB"/>
    <w:rsid w:val="00F61AA5"/>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D46"/>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platne1">
    <w:name w:val="platne1"/>
    <w:basedOn w:val="Standardnpsmoodstavce"/>
    <w:rsid w:val="00B4128B"/>
  </w:style>
  <w:style w:type="character" w:styleId="Nevyeenzmnka">
    <w:name w:val="Unresolved Mention"/>
    <w:basedOn w:val="Standardnpsmoodstavce"/>
    <w:uiPriority w:val="99"/>
    <w:semiHidden/>
    <w:unhideWhenUsed/>
    <w:rsid w:val="00E2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645936977">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drej.parez@omp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lastislav.janik@omp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omp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islav.janik@omp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FBB530DD-95E4-4EE3-8785-2A3F503C2B24}">
  <ds:schemaRefs>
    <ds:schemaRef ds:uri="http://schemas.openxmlformats.org/officeDocument/2006/bibliography"/>
  </ds:schemaRefs>
</ds:datastoreItem>
</file>

<file path=customXml/itemProps4.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28</Pages>
  <Words>9255</Words>
  <Characters>54608</Characters>
  <Application>Microsoft Office Word</Application>
  <DocSecurity>0</DocSecurity>
  <Lines>455</Lines>
  <Paragraphs>127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63736</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Parez Ondřej - OMPV</cp:lastModifiedBy>
  <cp:revision>16</cp:revision>
  <cp:lastPrinted>2018-08-27T08:58:00Z</cp:lastPrinted>
  <dcterms:created xsi:type="dcterms:W3CDTF">2024-08-21T08:28:00Z</dcterms:created>
  <dcterms:modified xsi:type="dcterms:W3CDTF">2025-10-13T13:01:00Z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