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65154667"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A0032A" w:rsidRPr="00A0032A">
            <w:rPr>
              <w:b/>
              <w:sz w:val="22"/>
              <w:szCs w:val="22"/>
            </w:rPr>
            <w:t>III/0185 Chramosty</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w:t>
      </w:r>
      <w:r w:rsidRPr="00B56F04">
        <w:rPr>
          <w:sz w:val="22"/>
          <w:szCs w:val="22"/>
        </w:rPr>
        <w:lastRenderedPageBreak/>
        <w:t xml:space="preserve">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7DEB50F4"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A0032A">
        <w:rPr>
          <w:b/>
          <w:bCs/>
          <w:sz w:val="22"/>
          <w:szCs w:val="22"/>
        </w:rPr>
        <w:t>4</w:t>
      </w:r>
      <w:r w:rsidR="002865A0">
        <w:rPr>
          <w:b/>
          <w:bCs/>
          <w:sz w:val="22"/>
          <w:szCs w:val="22"/>
        </w:rPr>
        <w:t xml:space="preserve"> týdnů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20D9562" w14:textId="77777777" w:rsidR="00102EC7" w:rsidRPr="00021B65" w:rsidRDefault="00102EC7" w:rsidP="00102EC7">
      <w:pPr>
        <w:pStyle w:val="Textodst1sl"/>
        <w:numPr>
          <w:ilvl w:val="0"/>
          <w:numId w:val="0"/>
        </w:numPr>
        <w:ind w:left="709"/>
        <w:rPr>
          <w:sz w:val="22"/>
          <w:szCs w:val="22"/>
        </w:rPr>
      </w:pPr>
      <w:r>
        <w:rPr>
          <w:sz w:val="22"/>
          <w:szCs w:val="22"/>
        </w:rPr>
        <w:tab/>
      </w:r>
      <w:r>
        <w:rPr>
          <w:sz w:val="22"/>
          <w:szCs w:val="22"/>
        </w:rPr>
        <w:tab/>
        <w:t>vedoucí oblasti</w:t>
      </w:r>
    </w:p>
    <w:p w14:paraId="2E289D8E" w14:textId="591CEF8E"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jméno: </w:t>
      </w:r>
      <w:r>
        <w:rPr>
          <w:sz w:val="22"/>
          <w:szCs w:val="22"/>
        </w:rPr>
        <w:tab/>
      </w:r>
      <w:r w:rsidR="006C0B92">
        <w:rPr>
          <w:sz w:val="22"/>
          <w:szCs w:val="22"/>
        </w:rPr>
        <w:t>Jiří Brzoň</w:t>
      </w:r>
    </w:p>
    <w:p w14:paraId="673118F7" w14:textId="1E846E5E"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7" w:history="1">
        <w:r w:rsidR="00112144" w:rsidRPr="00587784">
          <w:rPr>
            <w:rStyle w:val="Hypertextovodkaz"/>
            <w:sz w:val="22"/>
            <w:szCs w:val="22"/>
          </w:rPr>
          <w:t>jiri.brzon@ksus.cz</w:t>
        </w:r>
      </w:hyperlink>
    </w:p>
    <w:p w14:paraId="6197A767" w14:textId="40E5A1C6"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00112144" w:rsidRPr="00112144">
        <w:rPr>
          <w:sz w:val="22"/>
          <w:szCs w:val="22"/>
        </w:rPr>
        <w:t>601</w:t>
      </w:r>
      <w:r w:rsidR="00112144">
        <w:rPr>
          <w:sz w:val="22"/>
          <w:szCs w:val="22"/>
        </w:rPr>
        <w:t> </w:t>
      </w:r>
      <w:r w:rsidR="00112144" w:rsidRPr="00112144">
        <w:rPr>
          <w:sz w:val="22"/>
          <w:szCs w:val="22"/>
        </w:rPr>
        <w:t>571</w:t>
      </w:r>
      <w:r w:rsidR="00112144">
        <w:rPr>
          <w:sz w:val="22"/>
          <w:szCs w:val="22"/>
        </w:rPr>
        <w:t xml:space="preserve"> </w:t>
      </w:r>
      <w:r w:rsidR="00112144" w:rsidRPr="00112144">
        <w:rPr>
          <w:sz w:val="22"/>
          <w:szCs w:val="22"/>
        </w:rPr>
        <w:t>016</w:t>
      </w:r>
    </w:p>
    <w:p w14:paraId="11FDF4EF"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r>
    </w:p>
    <w:p w14:paraId="404620EA" w14:textId="4A25FEB9" w:rsidR="00950DB2" w:rsidRDefault="00950DB2" w:rsidP="00950DB2">
      <w:pPr>
        <w:pStyle w:val="Textodst1sl"/>
        <w:numPr>
          <w:ilvl w:val="0"/>
          <w:numId w:val="0"/>
        </w:numPr>
        <w:ind w:left="709"/>
        <w:rPr>
          <w:sz w:val="22"/>
          <w:szCs w:val="22"/>
        </w:rPr>
      </w:pPr>
      <w:r>
        <w:rPr>
          <w:sz w:val="22"/>
          <w:szCs w:val="22"/>
        </w:rPr>
        <w:tab/>
      </w:r>
      <w:r>
        <w:rPr>
          <w:sz w:val="22"/>
          <w:szCs w:val="22"/>
        </w:rPr>
        <w:tab/>
      </w:r>
      <w:r>
        <w:rPr>
          <w:sz w:val="22"/>
          <w:szCs w:val="22"/>
        </w:rPr>
        <w:t>zástupce vedoucího oblasti</w:t>
      </w:r>
    </w:p>
    <w:p w14:paraId="5D699722" w14:textId="77777777" w:rsidR="00950DB2" w:rsidRDefault="00950DB2" w:rsidP="00950DB2">
      <w:pPr>
        <w:pStyle w:val="Textodst1sl"/>
        <w:numPr>
          <w:ilvl w:val="0"/>
          <w:numId w:val="0"/>
        </w:numPr>
        <w:ind w:left="709"/>
        <w:rPr>
          <w:sz w:val="22"/>
          <w:szCs w:val="22"/>
        </w:rPr>
      </w:pPr>
      <w:r>
        <w:rPr>
          <w:sz w:val="22"/>
          <w:szCs w:val="22"/>
        </w:rPr>
        <w:tab/>
      </w:r>
      <w:r>
        <w:rPr>
          <w:sz w:val="22"/>
          <w:szCs w:val="22"/>
        </w:rPr>
        <w:tab/>
        <w:t>jméno:</w:t>
      </w:r>
      <w:r>
        <w:rPr>
          <w:sz w:val="22"/>
          <w:szCs w:val="22"/>
        </w:rPr>
        <w:tab/>
        <w:t>Bc. Milan Jonszta</w:t>
      </w:r>
    </w:p>
    <w:p w14:paraId="36D7E34C" w14:textId="77777777" w:rsidR="00950DB2" w:rsidRDefault="00950DB2" w:rsidP="00950DB2">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Pr="00923D35">
          <w:rPr>
            <w:rStyle w:val="Hypertextovodkaz"/>
            <w:sz w:val="22"/>
            <w:szCs w:val="22"/>
          </w:rPr>
          <w:t>milan.jonszta@ksus.cz</w:t>
        </w:r>
      </w:hyperlink>
    </w:p>
    <w:p w14:paraId="13379C53" w14:textId="038EA69E" w:rsidR="00950DB2" w:rsidRDefault="00950DB2" w:rsidP="00950DB2">
      <w:pPr>
        <w:pStyle w:val="Textodst1sl"/>
        <w:numPr>
          <w:ilvl w:val="0"/>
          <w:numId w:val="0"/>
        </w:numPr>
        <w:ind w:left="709"/>
        <w:rPr>
          <w:sz w:val="22"/>
          <w:szCs w:val="22"/>
        </w:rPr>
      </w:pPr>
      <w:r>
        <w:rPr>
          <w:sz w:val="22"/>
          <w:szCs w:val="22"/>
        </w:rPr>
        <w:tab/>
      </w:r>
      <w:r>
        <w:rPr>
          <w:sz w:val="22"/>
          <w:szCs w:val="22"/>
        </w:rPr>
        <w:tab/>
        <w:t>tel.:</w:t>
      </w:r>
      <w:r>
        <w:rPr>
          <w:sz w:val="22"/>
          <w:szCs w:val="22"/>
        </w:rPr>
        <w:tab/>
      </w:r>
      <w:r w:rsidRPr="005D6C0C">
        <w:rPr>
          <w:sz w:val="22"/>
          <w:szCs w:val="22"/>
        </w:rPr>
        <w:t>602 436</w:t>
      </w:r>
      <w:r>
        <w:rPr>
          <w:sz w:val="22"/>
          <w:szCs w:val="22"/>
        </w:rPr>
        <w:t> </w:t>
      </w:r>
      <w:r w:rsidRPr="005D6C0C">
        <w:rPr>
          <w:sz w:val="22"/>
          <w:szCs w:val="22"/>
        </w:rPr>
        <w:t>864</w:t>
      </w:r>
    </w:p>
    <w:p w14:paraId="263E185D" w14:textId="5774DB17" w:rsidR="00950DB2" w:rsidRDefault="00950DB2" w:rsidP="00102EC7">
      <w:pPr>
        <w:pStyle w:val="Textodst1sl"/>
        <w:numPr>
          <w:ilvl w:val="0"/>
          <w:numId w:val="0"/>
        </w:numPr>
        <w:ind w:left="709"/>
        <w:rPr>
          <w:sz w:val="22"/>
          <w:szCs w:val="22"/>
        </w:rPr>
      </w:pPr>
    </w:p>
    <w:p w14:paraId="56AA387C"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provozní cestmistr</w:t>
      </w:r>
    </w:p>
    <w:p w14:paraId="5B45C7B5" w14:textId="49DA8473" w:rsidR="00102EC7" w:rsidRDefault="00102EC7" w:rsidP="00102EC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E27B5D">
        <w:rPr>
          <w:sz w:val="22"/>
          <w:szCs w:val="22"/>
        </w:rPr>
        <w:t>Miroslav Jech</w:t>
      </w:r>
    </w:p>
    <w:p w14:paraId="1F0B62B7" w14:textId="20E413D6" w:rsidR="00102EC7" w:rsidRDefault="00102EC7" w:rsidP="00102EC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004C3220" w:rsidRPr="00587784">
          <w:rPr>
            <w:rStyle w:val="Hypertextovodkaz"/>
            <w:sz w:val="22"/>
            <w:szCs w:val="22"/>
          </w:rPr>
          <w:t>miroslav.jech@ksus.cz</w:t>
        </w:r>
      </w:hyperlink>
    </w:p>
    <w:p w14:paraId="12D6D8E8" w14:textId="162B45B6"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004C3220" w:rsidRPr="004C3220">
        <w:rPr>
          <w:sz w:val="22"/>
          <w:szCs w:val="22"/>
        </w:rPr>
        <w:t>602</w:t>
      </w:r>
      <w:r w:rsidR="004C3220">
        <w:rPr>
          <w:sz w:val="22"/>
          <w:szCs w:val="22"/>
        </w:rPr>
        <w:t> </w:t>
      </w:r>
      <w:r w:rsidR="004C3220" w:rsidRPr="004C3220">
        <w:rPr>
          <w:sz w:val="22"/>
          <w:szCs w:val="22"/>
        </w:rPr>
        <w:t>577</w:t>
      </w:r>
      <w:r w:rsidR="004C3220">
        <w:rPr>
          <w:sz w:val="22"/>
          <w:szCs w:val="22"/>
        </w:rPr>
        <w:t xml:space="preserve"> </w:t>
      </w:r>
      <w:r w:rsidR="004C3220" w:rsidRPr="004C3220">
        <w:rPr>
          <w:sz w:val="22"/>
          <w:szCs w:val="22"/>
        </w:rPr>
        <w:t>799</w:t>
      </w:r>
    </w:p>
    <w:p w14:paraId="574BE843" w14:textId="77777777" w:rsidR="00102EC7" w:rsidRDefault="00102EC7" w:rsidP="00102EC7">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0" w:history="1">
        <w:r>
          <w:rPr>
            <w:rStyle w:val="Hypertextovodkaz"/>
            <w:sz w:val="22"/>
            <w:szCs w:val="22"/>
          </w:rPr>
          <w:t>jaroslava.jurkova</w:t>
        </w:r>
        <w:r w:rsidRPr="00D808C6">
          <w:rPr>
            <w:rStyle w:val="Hypertextovodkaz"/>
            <w:sz w:val="22"/>
            <w:szCs w:val="22"/>
          </w:rPr>
          <w:t>@ksus.cz</w:t>
        </w:r>
      </w:hyperlink>
    </w:p>
    <w:p w14:paraId="2E71E621" w14:textId="77777777" w:rsidR="00C23571" w:rsidRDefault="00C23571"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0CA9601A" w14:textId="77777777" w:rsidR="00110945" w:rsidRPr="0095487A" w:rsidRDefault="00110945" w:rsidP="00110945">
      <w:pPr>
        <w:pStyle w:val="Textodst1sl"/>
        <w:rPr>
          <w:sz w:val="22"/>
          <w:szCs w:val="22"/>
        </w:rPr>
      </w:pPr>
      <w:bookmarkStart w:id="6" w:name="_Ref124495693"/>
      <w:r w:rsidRPr="0095487A">
        <w:rPr>
          <w:sz w:val="22"/>
          <w:szCs w:val="22"/>
        </w:rPr>
        <w:lastRenderedPageBreak/>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 xml:space="preserve">Tato Smlouva může být měněna pouze dohodou smluvních stran v písemné formě, a to vzestupně číslovanými dodatky ke Smlouvě. V případě snížení či zvýšení rozsahu Díla dle čl. </w:t>
      </w:r>
      <w:r w:rsidRPr="00295D00">
        <w:rPr>
          <w:sz w:val="22"/>
        </w:rPr>
        <w:lastRenderedPageBreak/>
        <w:t>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3"/>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4"/>
          <w:headerReference w:type="first" r:id="rId25"/>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57C32" w14:textId="77777777" w:rsidR="006B5E12" w:rsidRDefault="006B5E12" w:rsidP="003C6092">
      <w:r>
        <w:separator/>
      </w:r>
    </w:p>
  </w:endnote>
  <w:endnote w:type="continuationSeparator" w:id="0">
    <w:p w14:paraId="31AE0ACD" w14:textId="77777777" w:rsidR="006B5E12" w:rsidRDefault="006B5E12"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DA084" w14:textId="77777777" w:rsidR="006B5E12" w:rsidRDefault="006B5E12" w:rsidP="003C6092">
      <w:r>
        <w:separator/>
      </w:r>
    </w:p>
  </w:footnote>
  <w:footnote w:type="continuationSeparator" w:id="0">
    <w:p w14:paraId="6F926F1C" w14:textId="77777777" w:rsidR="006B5E12" w:rsidRDefault="006B5E12"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10945"/>
    <w:rsid w:val="00111620"/>
    <w:rsid w:val="00112144"/>
    <w:rsid w:val="001140BF"/>
    <w:rsid w:val="001148A1"/>
    <w:rsid w:val="00114929"/>
    <w:rsid w:val="0011554B"/>
    <w:rsid w:val="00115877"/>
    <w:rsid w:val="00116391"/>
    <w:rsid w:val="001171D3"/>
    <w:rsid w:val="001208BC"/>
    <w:rsid w:val="00127705"/>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103F6"/>
    <w:rsid w:val="00210FBF"/>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530AC"/>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3220"/>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3B2B"/>
    <w:rsid w:val="005154CC"/>
    <w:rsid w:val="00523098"/>
    <w:rsid w:val="00524DA2"/>
    <w:rsid w:val="0052640B"/>
    <w:rsid w:val="00527233"/>
    <w:rsid w:val="00530D59"/>
    <w:rsid w:val="005324B9"/>
    <w:rsid w:val="00532F7C"/>
    <w:rsid w:val="00533C89"/>
    <w:rsid w:val="00537AF8"/>
    <w:rsid w:val="00537F58"/>
    <w:rsid w:val="00542042"/>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004"/>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B5E12"/>
    <w:rsid w:val="006C0B92"/>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7D7F"/>
    <w:rsid w:val="0070196C"/>
    <w:rsid w:val="00701D52"/>
    <w:rsid w:val="00703178"/>
    <w:rsid w:val="0070379B"/>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0DB2"/>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032A"/>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3571"/>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27B5D"/>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milan.jonszta@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jiri.brzon@ksus.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etr.heinri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miroslav.jech@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jan.fidler@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B22E3"/>
    <w:rsid w:val="003530AC"/>
    <w:rsid w:val="003A1B30"/>
    <w:rsid w:val="003E6B2C"/>
    <w:rsid w:val="00452A48"/>
    <w:rsid w:val="004B2AE7"/>
    <w:rsid w:val="004C2054"/>
    <w:rsid w:val="004F63D3"/>
    <w:rsid w:val="00513B2B"/>
    <w:rsid w:val="0055396F"/>
    <w:rsid w:val="0070317C"/>
    <w:rsid w:val="0070379B"/>
    <w:rsid w:val="007C0857"/>
    <w:rsid w:val="00893628"/>
    <w:rsid w:val="00917EA0"/>
    <w:rsid w:val="00946173"/>
    <w:rsid w:val="00974D17"/>
    <w:rsid w:val="009C41D7"/>
    <w:rsid w:val="00A47E8C"/>
    <w:rsid w:val="00A74CD3"/>
    <w:rsid w:val="00AA09CC"/>
    <w:rsid w:val="00BA1846"/>
    <w:rsid w:val="00C7079A"/>
    <w:rsid w:val="00C8534D"/>
    <w:rsid w:val="00D50260"/>
    <w:rsid w:val="00D65C5B"/>
    <w:rsid w:val="00D71B7B"/>
    <w:rsid w:val="00DE5386"/>
    <w:rsid w:val="00DF6673"/>
    <w:rsid w:val="00E752B2"/>
    <w:rsid w:val="00E95431"/>
    <w:rsid w:val="00EA0B58"/>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93628"/>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2.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56A7AB4F-94DD-42BB-9FAA-E8802B6772B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25</Pages>
  <Words>8709</Words>
  <Characters>53642</Characters>
  <Application>Microsoft Office Word</Application>
  <DocSecurity>0</DocSecurity>
  <Lines>447</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187</cp:revision>
  <dcterms:created xsi:type="dcterms:W3CDTF">2024-12-10T11:36:00Z</dcterms:created>
  <dcterms:modified xsi:type="dcterms:W3CDTF">2025-10-02T06:11:00Z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