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71B1E34C"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D62F01">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EB14CFB" w:rsidR="003C6092" w:rsidRPr="00530AB0" w:rsidRDefault="003C6092" w:rsidP="008D6ED8">
      <w:pPr>
        <w:pStyle w:val="Textodst1sl"/>
        <w:numPr>
          <w:ilvl w:val="1"/>
          <w:numId w:val="15"/>
        </w:numPr>
        <w:rPr>
          <w:sz w:val="22"/>
          <w:szCs w:val="22"/>
        </w:rPr>
      </w:pPr>
      <w:r w:rsidRPr="00530AB0">
        <w:rPr>
          <w:sz w:val="22"/>
          <w:szCs w:val="22"/>
        </w:rPr>
        <w:t>Předmětem Smlouvy je provedení a dokončení stavebních prací „</w:t>
      </w:r>
      <w:sdt>
        <w:sdtPr>
          <w:rPr>
            <w:b/>
            <w:sz w:val="22"/>
            <w:szCs w:val="22"/>
          </w:rPr>
          <w:id w:val="-2060855988"/>
          <w:placeholder>
            <w:docPart w:val="4B251716CB7A47A9A58217EB287B971F"/>
          </w:placeholder>
          <w15:appearance w15:val="hidden"/>
          <w:text/>
        </w:sdtPr>
        <w:sdtContent>
          <w:r w:rsidR="004C2428" w:rsidRPr="004C2428">
            <w:rPr>
              <w:b/>
              <w:sz w:val="22"/>
              <w:szCs w:val="22"/>
            </w:rPr>
            <w:t>II/101 Kralupy nad Vltavou, most ev.č. 101-055 přes potok v Kralupech nad Vltavou – dokončení stavby</w:t>
          </w:r>
        </w:sdtContent>
      </w:sdt>
      <w:r w:rsidRPr="00530AB0">
        <w:rPr>
          <w:sz w:val="22"/>
          <w:szCs w:val="22"/>
        </w:rPr>
        <w:t>“, a to v následujícím rozsahu:</w:t>
      </w:r>
    </w:p>
    <w:p w14:paraId="4D3A2F4A" w14:textId="77777777" w:rsidR="00BA03DD" w:rsidRPr="00BA03DD" w:rsidRDefault="00BA03DD" w:rsidP="00BA03DD">
      <w:pPr>
        <w:pStyle w:val="Textodst2slovan"/>
        <w:numPr>
          <w:ilvl w:val="0"/>
          <w:numId w:val="0"/>
        </w:numPr>
        <w:spacing w:before="80"/>
        <w:ind w:left="1416"/>
        <w:rPr>
          <w:sz w:val="22"/>
          <w:szCs w:val="22"/>
        </w:rPr>
      </w:pPr>
      <w:r w:rsidRPr="00BA03DD">
        <w:rPr>
          <w:sz w:val="22"/>
          <w:szCs w:val="22"/>
        </w:rPr>
        <w:t xml:space="preserve">Odláždění dna koryta potoka regulačním kamenem o rozměrech cca 0,6 x 0,6 x 0,6 m včetně provedení příčných prahů a nových podélných betonových prahů v korytě v patách svahů. Svahy okolo mostu budou dodlážděny regulačním kamenem do betonu včetně provedení příčných prahů. Před návodním a za povodním prahem bude ve dně i na březích provedena </w:t>
      </w:r>
      <w:r w:rsidRPr="00BA03DD">
        <w:rPr>
          <w:sz w:val="22"/>
          <w:szCs w:val="22"/>
        </w:rPr>
        <w:lastRenderedPageBreak/>
        <w:t>kamenná rovnanina v délce cca 6,5 m před mostem a cca 3,6 m za mostem. Na povodní straně dojde k úpravě sklonu terénu, částečně to znamená přeskládání již hotové dlažby. Součástí zakázky je zajištění potřebného převedení a čerpání vody pro tyto práce. Koryto bude tvarováno jako berma s kynetami, dno bude tvarováno do střelky.</w:t>
      </w:r>
    </w:p>
    <w:p w14:paraId="4C34FB08" w14:textId="77777777" w:rsidR="00BA03DD" w:rsidRPr="00BA03DD" w:rsidRDefault="00BA03DD" w:rsidP="00BA03DD">
      <w:pPr>
        <w:pStyle w:val="Textodst2slovan"/>
        <w:numPr>
          <w:ilvl w:val="0"/>
          <w:numId w:val="0"/>
        </w:numPr>
        <w:spacing w:before="80"/>
        <w:ind w:left="1416"/>
        <w:rPr>
          <w:sz w:val="22"/>
          <w:szCs w:val="22"/>
        </w:rPr>
      </w:pPr>
      <w:r w:rsidRPr="00BA03DD">
        <w:rPr>
          <w:sz w:val="22"/>
          <w:szCs w:val="22"/>
        </w:rPr>
        <w:t>Bude provedena oprava kotvení 4 ks plechů přes dilatační spáry chodníkových říms.</w:t>
      </w:r>
    </w:p>
    <w:p w14:paraId="278F30E2" w14:textId="77777777" w:rsidR="00BA03DD" w:rsidRPr="00BA03DD" w:rsidRDefault="00BA03DD" w:rsidP="00BA03DD">
      <w:pPr>
        <w:pStyle w:val="Textodst2slovan"/>
        <w:numPr>
          <w:ilvl w:val="0"/>
          <w:numId w:val="0"/>
        </w:numPr>
        <w:spacing w:before="80"/>
        <w:ind w:left="1416"/>
        <w:rPr>
          <w:sz w:val="22"/>
          <w:szCs w:val="22"/>
        </w:rPr>
      </w:pPr>
      <w:r w:rsidRPr="00BA03DD">
        <w:rPr>
          <w:sz w:val="22"/>
          <w:szCs w:val="22"/>
        </w:rPr>
        <w:t xml:space="preserve">Budou injektovány lokální trhliny ve spodní stavbě mostu tlakovou injektáží. </w:t>
      </w:r>
    </w:p>
    <w:p w14:paraId="3B5312D0" w14:textId="77777777" w:rsidR="00BA03DD" w:rsidRPr="00BA03DD" w:rsidRDefault="00BA03DD" w:rsidP="00BA03DD">
      <w:pPr>
        <w:pStyle w:val="Textodst2slovan"/>
        <w:numPr>
          <w:ilvl w:val="0"/>
          <w:numId w:val="0"/>
        </w:numPr>
        <w:spacing w:before="80"/>
        <w:ind w:left="1416"/>
        <w:rPr>
          <w:sz w:val="22"/>
          <w:szCs w:val="22"/>
        </w:rPr>
      </w:pPr>
      <w:r w:rsidRPr="00BA03DD">
        <w:rPr>
          <w:sz w:val="22"/>
          <w:szCs w:val="22"/>
        </w:rPr>
        <w:t>Budou odvrtány kotvy v pravé římse nad OP2 po chybně umístěném zábradlí do hl. 40 mm a bude provedeno zasanování vyvrtaných otvorů.</w:t>
      </w:r>
    </w:p>
    <w:p w14:paraId="7D057EB0" w14:textId="77777777" w:rsidR="00BA03DD" w:rsidRPr="00BA03DD" w:rsidRDefault="00BA03DD" w:rsidP="00BA03DD">
      <w:pPr>
        <w:pStyle w:val="Textodst2slovan"/>
        <w:numPr>
          <w:ilvl w:val="0"/>
          <w:numId w:val="0"/>
        </w:numPr>
        <w:spacing w:before="80"/>
        <w:ind w:left="1416"/>
        <w:rPr>
          <w:sz w:val="22"/>
          <w:szCs w:val="22"/>
        </w:rPr>
      </w:pPr>
      <w:r w:rsidRPr="00BA03DD">
        <w:rPr>
          <w:sz w:val="22"/>
          <w:szCs w:val="22"/>
        </w:rPr>
        <w:t>V místech rozhraní mezi NK a římsou, kde dochází lokálně k prosakování vody, budou tato místa mechanicky očištěna, otryskána a spára bude zainjektována. Tryskaná místa budou následně sanována</w:t>
      </w:r>
    </w:p>
    <w:p w14:paraId="56DA30EE" w14:textId="77777777" w:rsidR="00BA03DD" w:rsidRPr="00BA03DD" w:rsidRDefault="00BA03DD" w:rsidP="00BA03DD">
      <w:pPr>
        <w:pStyle w:val="Textodst2slovan"/>
        <w:numPr>
          <w:ilvl w:val="0"/>
          <w:numId w:val="0"/>
        </w:numPr>
        <w:spacing w:before="80"/>
        <w:ind w:left="1416"/>
        <w:rPr>
          <w:sz w:val="22"/>
          <w:szCs w:val="22"/>
        </w:rPr>
      </w:pPr>
      <w:r w:rsidRPr="00BA03DD">
        <w:rPr>
          <w:sz w:val="22"/>
          <w:szCs w:val="22"/>
        </w:rPr>
        <w:t>Po dokončení prací budou ochranné plotové konstrukce umístěné u mostu odvezeny na cstm. KSÚS Dřínov, bude proveden kompletní úklid v okolí mostu a vyčištění koryta potoka v délce cca 100 m od mostu.</w:t>
      </w:r>
    </w:p>
    <w:p w14:paraId="45BF8344" w14:textId="5F5A4F44" w:rsidR="00BA03DD" w:rsidRPr="00BA03DD" w:rsidRDefault="00BA03DD" w:rsidP="008603DF">
      <w:pPr>
        <w:pStyle w:val="Textodst2slovan"/>
        <w:numPr>
          <w:ilvl w:val="0"/>
          <w:numId w:val="0"/>
        </w:numPr>
        <w:spacing w:before="80"/>
        <w:ind w:left="1416"/>
        <w:rPr>
          <w:sz w:val="22"/>
          <w:szCs w:val="22"/>
        </w:rPr>
      </w:pPr>
      <w:r w:rsidRPr="00BA03DD">
        <w:rPr>
          <w:sz w:val="22"/>
          <w:szCs w:val="22"/>
        </w:rPr>
        <w:t>Součástí bude i projednání a zajištění DIO pro zajištění potřebného pracovního místa na chodníku a ve vozovce.</w:t>
      </w:r>
    </w:p>
    <w:p w14:paraId="0FDB3148" w14:textId="0A0C3181" w:rsidR="006A35F9" w:rsidRDefault="00BA03DD" w:rsidP="008603DF">
      <w:pPr>
        <w:pStyle w:val="Textodst2slovan"/>
        <w:numPr>
          <w:ilvl w:val="0"/>
          <w:numId w:val="0"/>
        </w:numPr>
        <w:spacing w:before="80"/>
        <w:ind w:left="1416"/>
        <w:rPr>
          <w:sz w:val="22"/>
          <w:szCs w:val="22"/>
        </w:rPr>
      </w:pPr>
      <w:r w:rsidRPr="00BA03DD">
        <w:rPr>
          <w:sz w:val="22"/>
          <w:szCs w:val="22"/>
        </w:rPr>
        <w:t>Vše bude provedeno na základě PD zpracované firmou Pontex s.r.o. v 08/2025 a platných norem a předpisů</w:t>
      </w:r>
      <w:r w:rsidR="00193827" w:rsidRPr="00D9103E">
        <w:rPr>
          <w:sz w:val="22"/>
          <w:szCs w:val="22"/>
        </w:rPr>
        <w:t>.</w:t>
      </w:r>
      <w:r w:rsidR="00193827">
        <w:rPr>
          <w:sz w:val="22"/>
          <w:szCs w:val="22"/>
        </w:rPr>
        <w:t xml:space="preserve"> </w:t>
      </w:r>
    </w:p>
    <w:p w14:paraId="4FA2D895" w14:textId="2027ED70" w:rsidR="008456D2" w:rsidRPr="00A6422A" w:rsidRDefault="008456D2" w:rsidP="008456D2">
      <w:pPr>
        <w:pStyle w:val="Textodst2slovan"/>
        <w:ind w:left="1418" w:hanging="567"/>
      </w:pPr>
      <w:r w:rsidRPr="00530AB0">
        <w:rPr>
          <w:sz w:val="22"/>
          <w:szCs w:val="22"/>
        </w:rPr>
        <w:t>Zhotovení realizační dokumentace stavby dle kap. 10 Směrnice pro dokumentaci staveb pozemních komunikací</w:t>
      </w:r>
      <w:r w:rsidRPr="00A6422A">
        <w:rPr>
          <w:sz w:val="22"/>
          <w:szCs w:val="22"/>
        </w:rPr>
        <w:t xml:space="preserve">,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A6422A">
          <w:rPr>
            <w:rStyle w:val="Hypertextovodkaz"/>
            <w:sz w:val="22"/>
            <w:szCs w:val="22"/>
          </w:rPr>
          <w:t>www.pjpk.cz</w:t>
        </w:r>
      </w:hyperlink>
      <w:r w:rsidRPr="00A6422A">
        <w:rPr>
          <w:sz w:val="22"/>
          <w:szCs w:val="22"/>
        </w:rPr>
        <w:t>)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Realizační dokumentace bude objednateli předána</w:t>
      </w:r>
      <w:r>
        <w:rPr>
          <w:sz w:val="22"/>
          <w:szCs w:val="22"/>
        </w:rPr>
        <w:t xml:space="preserve"> následovně:</w:t>
      </w:r>
    </w:p>
    <w:p w14:paraId="355B9D34" w14:textId="77777777" w:rsidR="008456D2" w:rsidRPr="00A6422A" w:rsidRDefault="008456D2" w:rsidP="008456D2">
      <w:pPr>
        <w:pStyle w:val="Textodst3psmena"/>
        <w:tabs>
          <w:tab w:val="left" w:pos="2410"/>
        </w:tabs>
        <w:ind w:left="1701" w:hanging="284"/>
        <w:rPr>
          <w:sz w:val="22"/>
          <w:szCs w:val="22"/>
        </w:rPr>
      </w:pPr>
      <w:r w:rsidRPr="00A6422A">
        <w:rPr>
          <w:sz w:val="22"/>
          <w:szCs w:val="22"/>
        </w:rPr>
        <w:t xml:space="preserve">koncept v tištěné podobě v </w:t>
      </w:r>
      <w:r>
        <w:rPr>
          <w:sz w:val="22"/>
          <w:szCs w:val="22"/>
        </w:rPr>
        <w:t>1</w:t>
      </w:r>
      <w:r w:rsidRPr="00A6422A">
        <w:rPr>
          <w:sz w:val="22"/>
          <w:szCs w:val="22"/>
        </w:rPr>
        <w:t xml:space="preserve"> paré a 1x v elektronické podobě (rozsah a upořádání odpovídající podobě tištěné) v uzavřeném (PDF) a otevřeném formátu (DWG, XLS, DOC, apod.),</w:t>
      </w:r>
    </w:p>
    <w:p w14:paraId="16AA9BE6" w14:textId="77777777" w:rsidR="008456D2" w:rsidRPr="00A6422A" w:rsidRDefault="008456D2" w:rsidP="008456D2">
      <w:pPr>
        <w:pStyle w:val="Textodst3psmena"/>
        <w:tabs>
          <w:tab w:val="left" w:pos="2410"/>
        </w:tabs>
        <w:ind w:left="1701" w:hanging="284"/>
        <w:rPr>
          <w:sz w:val="22"/>
          <w:szCs w:val="22"/>
        </w:rPr>
      </w:pPr>
      <w:r w:rsidRPr="00A6422A">
        <w:rPr>
          <w:sz w:val="22"/>
          <w:szCs w:val="22"/>
        </w:rPr>
        <w:t xml:space="preserve">čistopis v tištěné podobě v </w:t>
      </w:r>
      <w:r>
        <w:rPr>
          <w:sz w:val="22"/>
          <w:szCs w:val="22"/>
        </w:rPr>
        <w:t xml:space="preserve">1 </w:t>
      </w:r>
      <w:r w:rsidRPr="00A6422A">
        <w:rPr>
          <w:sz w:val="22"/>
          <w:szCs w:val="22"/>
        </w:rPr>
        <w:t>paré a 1x v elektronické podobě (rozsah a upořádání odpovídající podobě tištěné) v uzavřeném (PDF) a otevřeném formátu (DWG, XLS, DOC, apod.)</w:t>
      </w:r>
      <w:r>
        <w:rPr>
          <w:sz w:val="22"/>
          <w:szCs w:val="22"/>
        </w:rPr>
        <w:t>.</w:t>
      </w:r>
    </w:p>
    <w:p w14:paraId="2A2B8F63" w14:textId="62973183" w:rsidR="008456D2" w:rsidRPr="00530AB0" w:rsidRDefault="008456D2" w:rsidP="008456D2">
      <w:pPr>
        <w:pStyle w:val="Textodst2slovan"/>
        <w:tabs>
          <w:tab w:val="clear" w:pos="360"/>
          <w:tab w:val="num" w:pos="-6237"/>
        </w:tabs>
        <w:ind w:left="1418" w:hanging="567"/>
        <w:rPr>
          <w:sz w:val="22"/>
          <w:szCs w:val="22"/>
        </w:rPr>
      </w:pPr>
      <w:r w:rsidRPr="00A6422A">
        <w:rPr>
          <w:sz w:val="22"/>
          <w:szCs w:val="22"/>
        </w:rPr>
        <w:t xml:space="preserve">Zpracování </w:t>
      </w:r>
      <w:r w:rsidRPr="00530AB0">
        <w:rPr>
          <w:sz w:val="22"/>
          <w:szCs w:val="22"/>
        </w:rPr>
        <w:t xml:space="preserve">dokumentace skutečného provedení stavby ve smyslu § 125 odst. 6 zákona č. 183/2006 Sb., o územním plánování a stavebním řádu (stavební zákon), ve znění pozdějších předpisů,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530AB0">
          <w:rPr>
            <w:rStyle w:val="Hypertextovodkaz"/>
            <w:sz w:val="22"/>
            <w:szCs w:val="22"/>
          </w:rPr>
          <w:t>www.pjpk.cz</w:t>
        </w:r>
      </w:hyperlink>
      <w:r w:rsidRPr="00530AB0">
        <w:rPr>
          <w:sz w:val="22"/>
          <w:szCs w:val="22"/>
        </w:rPr>
        <w:t>).). Dokumentace skutečného provedení stavby bude Objednateli předána následovně:</w:t>
      </w:r>
    </w:p>
    <w:p w14:paraId="642891B8" w14:textId="77777777" w:rsidR="008456D2" w:rsidRPr="00530AB0" w:rsidRDefault="008456D2" w:rsidP="008456D2">
      <w:pPr>
        <w:pStyle w:val="Textodst3psmena"/>
        <w:ind w:left="1701" w:hanging="284"/>
        <w:rPr>
          <w:sz w:val="22"/>
          <w:szCs w:val="22"/>
        </w:rPr>
      </w:pPr>
      <w:r w:rsidRPr="00530AB0">
        <w:rPr>
          <w:sz w:val="22"/>
          <w:szCs w:val="22"/>
        </w:rPr>
        <w:t>koncept v tištěné podobě v 1 paré a 1x v elektronické podobě (rozsah a uspořádání odpovídající podobě tištěné) v uzavřeném (PDF) a otevřeném formátu (DWG, XLS, DOC, apod.),</w:t>
      </w:r>
    </w:p>
    <w:p w14:paraId="036B2800" w14:textId="77777777" w:rsidR="008456D2" w:rsidRDefault="008456D2" w:rsidP="008456D2">
      <w:pPr>
        <w:pStyle w:val="Textodst3psmena"/>
        <w:ind w:left="1701" w:hanging="284"/>
        <w:rPr>
          <w:sz w:val="22"/>
          <w:szCs w:val="22"/>
        </w:rPr>
      </w:pPr>
      <w:r w:rsidRPr="00A6422A">
        <w:rPr>
          <w:sz w:val="22"/>
          <w:szCs w:val="22"/>
        </w:rPr>
        <w:t xml:space="preserve">čistopis v tištěné podobě v </w:t>
      </w:r>
      <w:r>
        <w:rPr>
          <w:sz w:val="22"/>
          <w:szCs w:val="22"/>
        </w:rPr>
        <w:t>1</w:t>
      </w:r>
      <w:r w:rsidRPr="00A6422A">
        <w:rPr>
          <w:sz w:val="22"/>
          <w:szCs w:val="22"/>
        </w:rPr>
        <w:t xml:space="preserve"> paré a 1x v elektronické podobě (rozsah a uspořádání odpovídající podobě tištěné) v uzavřeném (PDF) a otevřeném formátu (DWG, XLS, DOC, apod.).</w:t>
      </w:r>
    </w:p>
    <w:p w14:paraId="6CB70993" w14:textId="77777777" w:rsidR="008456D2" w:rsidRPr="00A6422A" w:rsidRDefault="008456D2" w:rsidP="008456D2">
      <w:pPr>
        <w:pStyle w:val="Textodst3psmena"/>
        <w:numPr>
          <w:ilvl w:val="0"/>
          <w:numId w:val="0"/>
        </w:numPr>
        <w:ind w:left="1701"/>
        <w:rPr>
          <w:sz w:val="22"/>
          <w:szCs w:val="22"/>
        </w:rPr>
      </w:pPr>
    </w:p>
    <w:p w14:paraId="40EA278C" w14:textId="77777777" w:rsidR="008456D2" w:rsidRDefault="008456D2" w:rsidP="008456D2">
      <w:pPr>
        <w:pStyle w:val="Textodst3psmena"/>
        <w:numPr>
          <w:ilvl w:val="0"/>
          <w:numId w:val="0"/>
        </w:numPr>
        <w:rPr>
          <w:sz w:val="22"/>
          <w:szCs w:val="22"/>
        </w:rPr>
      </w:pPr>
      <w:r>
        <w:rPr>
          <w:sz w:val="22"/>
          <w:szCs w:val="22"/>
        </w:rPr>
        <w:tab/>
      </w:r>
      <w:r>
        <w:rPr>
          <w:sz w:val="22"/>
          <w:szCs w:val="22"/>
        </w:rPr>
        <w:tab/>
      </w:r>
      <w:r>
        <w:rPr>
          <w:sz w:val="22"/>
          <w:szCs w:val="22"/>
        </w:rPr>
        <w:tab/>
        <w:t xml:space="preserve">(dále společně jen </w:t>
      </w:r>
      <w:r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78D469D9"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2054E3">
        <w:rPr>
          <w:sz w:val="22"/>
          <w:szCs w:val="22"/>
        </w:rPr>
        <w:t xml:space="preserve">projektovou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AA493E">
        <w:rPr>
          <w:sz w:val="22"/>
          <w:szCs w:val="22"/>
        </w:rPr>
        <w:t xml:space="preserve"> </w:t>
      </w:r>
      <w:r w:rsidR="00AA493E" w:rsidRPr="00AA493E">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F108E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8F1A09">
        <w:rPr>
          <w:sz w:val="22"/>
          <w:szCs w:val="22"/>
        </w:rPr>
        <w:fldChar w:fldCharType="begin"/>
      </w:r>
      <w:r w:rsidR="008F1A09">
        <w:rPr>
          <w:sz w:val="22"/>
          <w:szCs w:val="22"/>
        </w:rPr>
        <w:instrText xml:space="preserve"> REF _Ref182770809 \r \h </w:instrText>
      </w:r>
      <w:r w:rsidR="008F1A09">
        <w:rPr>
          <w:sz w:val="22"/>
          <w:szCs w:val="22"/>
        </w:rPr>
      </w:r>
      <w:r w:rsidR="008F1A09">
        <w:rPr>
          <w:sz w:val="22"/>
          <w:szCs w:val="22"/>
        </w:rPr>
        <w:fldChar w:fldCharType="separate"/>
      </w:r>
      <w:r w:rsidR="00D62F01">
        <w:rPr>
          <w:sz w:val="22"/>
          <w:szCs w:val="22"/>
        </w:rPr>
        <w:t>6.7</w:t>
      </w:r>
      <w:r w:rsidR="008F1A09">
        <w:rPr>
          <w:sz w:val="22"/>
          <w:szCs w:val="22"/>
        </w:rPr>
        <w:fldChar w:fldCharType="end"/>
      </w:r>
      <w:r w:rsidR="008F1A09">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4E355D3" w:rsidR="00B6200D" w:rsidRPr="00535BEF" w:rsidRDefault="00B6200D" w:rsidP="00B6200D">
      <w:pPr>
        <w:pStyle w:val="Textodst1sl"/>
        <w:spacing w:before="120"/>
        <w:rPr>
          <w:sz w:val="22"/>
          <w:szCs w:val="22"/>
        </w:rPr>
      </w:pPr>
      <w:r w:rsidRPr="00535BEF">
        <w:rPr>
          <w:sz w:val="22"/>
          <w:szCs w:val="22"/>
        </w:rPr>
        <w:t xml:space="preserve">Objednatel se stává vlastníkem projektové dokumentace skutečného provedení stavby v </w:t>
      </w:r>
      <w:r w:rsidR="003663A2" w:rsidRPr="00535BEF">
        <w:rPr>
          <w:sz w:val="22"/>
          <w:szCs w:val="22"/>
        </w:rPr>
        <w:t>1</w:t>
      </w:r>
      <w:r w:rsidRPr="00535BEF">
        <w:rPr>
          <w:sz w:val="22"/>
          <w:szCs w:val="22"/>
        </w:rPr>
        <w:t xml:space="preserve"> paré v tištěné podobě a 1x v elektronické podobě a geodetického zaměření zhotovené stavby, včetně geometrického plánu, potvrzeného příslušným katastrálním úřadem, ve 3 paré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lastRenderedPageBreak/>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394084B9" w14:textId="65774AB9" w:rsidR="00360643" w:rsidRDefault="00360643" w:rsidP="001B735B">
      <w:pPr>
        <w:pStyle w:val="Textodst1sl"/>
        <w:numPr>
          <w:ilvl w:val="1"/>
          <w:numId w:val="6"/>
        </w:numPr>
        <w:rPr>
          <w:sz w:val="22"/>
          <w:szCs w:val="22"/>
        </w:rPr>
      </w:pPr>
      <w:bookmarkStart w:id="0" w:name="_Ref182770033"/>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w:t>
      </w:r>
      <w:r w:rsidR="008B1B5A">
        <w:rPr>
          <w:sz w:val="22"/>
          <w:szCs w:val="22"/>
        </w:rPr>
        <w:t>má</w:t>
      </w:r>
      <w:r w:rsidR="00F214ED">
        <w:rPr>
          <w:sz w:val="22"/>
          <w:szCs w:val="22"/>
        </w:rPr>
        <w:t xml:space="preserve"> povinnost</w:t>
      </w:r>
      <w:r w:rsidRPr="00360643">
        <w:rPr>
          <w:sz w:val="22"/>
          <w:szCs w:val="22"/>
        </w:rPr>
        <w:t xml:space="preserve"> převzít Staveniště nejpozději do </w:t>
      </w:r>
      <w:r w:rsidRPr="00F214ED">
        <w:rPr>
          <w:b/>
          <w:bCs/>
          <w:sz w:val="22"/>
          <w:szCs w:val="22"/>
        </w:rPr>
        <w:t>35 kalendářních dnů</w:t>
      </w:r>
      <w:r w:rsidRPr="00360643">
        <w:rPr>
          <w:sz w:val="22"/>
          <w:szCs w:val="22"/>
        </w:rPr>
        <w:t xml:space="preserve"> od výzvy Objednatele. </w:t>
      </w:r>
      <w:r w:rsidR="00F00F73">
        <w:rPr>
          <w:sz w:val="22"/>
          <w:szCs w:val="22"/>
        </w:rPr>
        <w:t>Do</w:t>
      </w:r>
      <w:r w:rsidRPr="00360643">
        <w:rPr>
          <w:sz w:val="22"/>
          <w:szCs w:val="22"/>
        </w:rPr>
        <w:t xml:space="preserve"> převzetí </w:t>
      </w:r>
      <w:r w:rsidR="00F00F73">
        <w:rPr>
          <w:sz w:val="22"/>
          <w:szCs w:val="22"/>
        </w:rPr>
        <w:t>s</w:t>
      </w:r>
      <w:r w:rsidRPr="00360643">
        <w:rPr>
          <w:sz w:val="22"/>
          <w:szCs w:val="22"/>
        </w:rPr>
        <w:t>taveniště je Zhotovitel povinen zajistit pravomocné rozhodnutí o dopravně inženýrských opatřeních, vytyčení inženýrských sítí, vytyčení stavby a zvláštního užívání pozemku a současně předložit kontrolní zkušební plán ke schválení Objednateli</w:t>
      </w:r>
      <w:r>
        <w:rPr>
          <w:sz w:val="22"/>
          <w:szCs w:val="22"/>
        </w:rPr>
        <w:t>.</w:t>
      </w:r>
      <w:bookmarkEnd w:id="0"/>
    </w:p>
    <w:p w14:paraId="0EC7B266" w14:textId="02A2C3DC" w:rsidR="00B6200D" w:rsidRPr="00360643" w:rsidRDefault="00B6200D" w:rsidP="001B735B">
      <w:pPr>
        <w:pStyle w:val="Textodst1sl"/>
        <w:numPr>
          <w:ilvl w:val="1"/>
          <w:numId w:val="6"/>
        </w:numPr>
        <w:rPr>
          <w:sz w:val="22"/>
          <w:szCs w:val="22"/>
        </w:rPr>
      </w:pPr>
      <w:r w:rsidRPr="00360643">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r w:rsidR="001337FC" w:rsidRPr="00360643">
        <w:rPr>
          <w:sz w:val="22"/>
          <w:szCs w:val="22"/>
        </w:rPr>
        <w:t>.</w:t>
      </w:r>
    </w:p>
    <w:p w14:paraId="1E13B585" w14:textId="0931FBE9"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D099F">
        <w:rPr>
          <w:sz w:val="22"/>
          <w:szCs w:val="22"/>
        </w:rPr>
        <w:t xml:space="preserve"> </w:t>
      </w:r>
      <w:r w:rsidR="00E96B1E">
        <w:rPr>
          <w:sz w:val="22"/>
          <w:szCs w:val="22"/>
        </w:rPr>
        <w:fldChar w:fldCharType="begin"/>
      </w:r>
      <w:r w:rsidR="00E96B1E">
        <w:rPr>
          <w:sz w:val="22"/>
          <w:szCs w:val="22"/>
        </w:rPr>
        <w:instrText xml:space="preserve"> REF _Ref182768599 \r \h </w:instrText>
      </w:r>
      <w:r w:rsidR="00E96B1E">
        <w:rPr>
          <w:sz w:val="22"/>
          <w:szCs w:val="22"/>
        </w:rPr>
      </w:r>
      <w:r w:rsidR="00E96B1E">
        <w:rPr>
          <w:sz w:val="22"/>
          <w:szCs w:val="22"/>
        </w:rPr>
        <w:fldChar w:fldCharType="separate"/>
      </w:r>
      <w:r w:rsidR="00D62F01">
        <w:rPr>
          <w:sz w:val="22"/>
          <w:szCs w:val="22"/>
        </w:rPr>
        <w:t>5.10</w:t>
      </w:r>
      <w:r w:rsidR="00E96B1E">
        <w:rPr>
          <w:sz w:val="22"/>
          <w:szCs w:val="22"/>
        </w:rPr>
        <w:fldChar w:fldCharType="end"/>
      </w:r>
      <w:r w:rsidR="00E96B1E">
        <w:rPr>
          <w:sz w:val="22"/>
          <w:szCs w:val="22"/>
        </w:rPr>
        <w:t xml:space="preserve">. </w:t>
      </w:r>
      <w:r w:rsidRPr="00B56F04">
        <w:rPr>
          <w:sz w:val="22"/>
          <w:szCs w:val="22"/>
        </w:rPr>
        <w:t xml:space="preserve">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w:t>
      </w:r>
      <w:r w:rsidRPr="00781CB4">
        <w:rPr>
          <w:sz w:val="22"/>
          <w:szCs w:val="22"/>
        </w:rPr>
        <w:lastRenderedPageBreak/>
        <w:t xml:space="preserve">Zhotovitel získá veškerá povolení, která mohou být vyžadována orgány státní správy k používání přístupových komunikací. </w:t>
      </w:r>
    </w:p>
    <w:p w14:paraId="23373AA0" w14:textId="1094DA1E"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641328">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14B7EA05" w14:textId="7637A218" w:rsidR="00AA7C74" w:rsidRPr="00AA7C74" w:rsidRDefault="00AA7C74" w:rsidP="00F5498E">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protokolárního převzetí Staveniště a dokončit veškeré stavební práce nejpozději do </w:t>
      </w:r>
      <w:r w:rsidR="00697305" w:rsidRPr="00697305">
        <w:rPr>
          <w:b/>
          <w:sz w:val="22"/>
          <w:szCs w:val="22"/>
        </w:rPr>
        <w:t>1</w:t>
      </w:r>
      <w:r w:rsidR="00E23223">
        <w:rPr>
          <w:b/>
          <w:sz w:val="22"/>
          <w:szCs w:val="22"/>
        </w:rPr>
        <w:t xml:space="preserve"> měsíc</w:t>
      </w:r>
      <w:r w:rsidR="00697305">
        <w:rPr>
          <w:b/>
          <w:sz w:val="22"/>
          <w:szCs w:val="22"/>
        </w:rPr>
        <w:t>e</w:t>
      </w:r>
      <w:r w:rsidRPr="00AA7C74">
        <w:rPr>
          <w:bCs/>
          <w:sz w:val="22"/>
          <w:szCs w:val="22"/>
        </w:rPr>
        <w:t xml:space="preserve"> od tohoto převzetí. Zhotovitel dále postupuje v souladu s odst.</w:t>
      </w:r>
      <w:r w:rsidR="00F90EC3">
        <w:rPr>
          <w:bCs/>
          <w:sz w:val="22"/>
          <w:szCs w:val="22"/>
        </w:rPr>
        <w:t xml:space="preserve"> </w:t>
      </w:r>
      <w:r w:rsidR="00F90EC3">
        <w:rPr>
          <w:bCs/>
          <w:sz w:val="22"/>
          <w:szCs w:val="22"/>
        </w:rPr>
        <w:fldChar w:fldCharType="begin"/>
      </w:r>
      <w:r w:rsidR="00F90EC3">
        <w:rPr>
          <w:bCs/>
          <w:sz w:val="22"/>
          <w:szCs w:val="22"/>
        </w:rPr>
        <w:instrText xml:space="preserve"> REF _Ref190937010 \r \h </w:instrText>
      </w:r>
      <w:r w:rsidR="00F90EC3">
        <w:rPr>
          <w:bCs/>
          <w:sz w:val="22"/>
          <w:szCs w:val="22"/>
        </w:rPr>
      </w:r>
      <w:r w:rsidR="00F90EC3">
        <w:rPr>
          <w:bCs/>
          <w:sz w:val="22"/>
          <w:szCs w:val="22"/>
        </w:rPr>
        <w:fldChar w:fldCharType="separate"/>
      </w:r>
      <w:r w:rsidR="00D62F01">
        <w:rPr>
          <w:bCs/>
          <w:sz w:val="22"/>
          <w:szCs w:val="22"/>
        </w:rPr>
        <w:t>7.2</w:t>
      </w:r>
      <w:r w:rsidR="00F90EC3">
        <w:rPr>
          <w:bCs/>
          <w:sz w:val="22"/>
          <w:szCs w:val="22"/>
        </w:rPr>
        <w:fldChar w:fldCharType="end"/>
      </w:r>
      <w:r w:rsidR="00604D93">
        <w:rPr>
          <w:bCs/>
          <w:sz w:val="22"/>
          <w:szCs w:val="22"/>
        </w:rPr>
        <w:t>.</w:t>
      </w:r>
      <w:r w:rsidRPr="00AA7C74">
        <w:rPr>
          <w:bCs/>
          <w:sz w:val="22"/>
          <w:szCs w:val="22"/>
        </w:rPr>
        <w:t xml:space="preserve"> Smlouvy.</w:t>
      </w:r>
    </w:p>
    <w:bookmarkEnd w:id="1"/>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1F53988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446BD766" w:rsidR="00F5498E" w:rsidRDefault="00F5498E" w:rsidP="00F5498E">
      <w:pPr>
        <w:pStyle w:val="Textodst1sl"/>
        <w:numPr>
          <w:ilvl w:val="1"/>
          <w:numId w:val="16"/>
        </w:numPr>
        <w:rPr>
          <w:sz w:val="22"/>
          <w:szCs w:val="22"/>
        </w:rPr>
      </w:pPr>
      <w:r>
        <w:rPr>
          <w:sz w:val="22"/>
          <w:szCs w:val="22"/>
        </w:rPr>
        <w:t xml:space="preserve">V případě vyhlášení </w:t>
      </w:r>
      <w:r w:rsidR="008C57EB">
        <w:rPr>
          <w:sz w:val="22"/>
          <w:szCs w:val="22"/>
        </w:rPr>
        <w:t>t</w:t>
      </w:r>
      <w:r>
        <w:rPr>
          <w:sz w:val="22"/>
          <w:szCs w:val="22"/>
        </w:rPr>
        <w:t>echnologické přestávky je Zhotovitel povinen dokončit rozpracovaný úsek díla a zajistit, aby bylo po dobu zimní technologické přestávky možno dotčené části komunikace užívat v maximální míře. Po dobu zimní technologické přestávky je Zhotovitel povinen přerušit provádění Díla</w:t>
      </w:r>
      <w:r w:rsidR="00105CF3">
        <w:rPr>
          <w:sz w:val="22"/>
          <w:szCs w:val="22"/>
        </w:rPr>
        <w:t>.</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69366447" w14:textId="77777777" w:rsidR="00C17110" w:rsidRDefault="00C17110" w:rsidP="00C17110">
      <w:pPr>
        <w:pStyle w:val="Textodst1sl"/>
        <w:numPr>
          <w:ilvl w:val="1"/>
          <w:numId w:val="16"/>
        </w:numPr>
        <w:rPr>
          <w:sz w:val="22"/>
          <w:szCs w:val="22"/>
        </w:rPr>
      </w:pPr>
      <w:r>
        <w:rPr>
          <w:bCs/>
          <w:sz w:val="22"/>
          <w:szCs w:val="22"/>
        </w:rPr>
        <w:t>Před předáním staveniště zhotovitel předloží pracovní smlouvu (smlouvu/dohodu) 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691FA9A9"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126ED6">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68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E132CAD"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E96B1E">
        <w:rPr>
          <w:sz w:val="22"/>
          <w:szCs w:val="22"/>
        </w:rPr>
        <w:fldChar w:fldCharType="begin"/>
      </w:r>
      <w:r w:rsidR="00E96B1E">
        <w:rPr>
          <w:sz w:val="22"/>
          <w:szCs w:val="22"/>
        </w:rPr>
        <w:instrText xml:space="preserve"> REF _Ref182768688 \r \h </w:instrText>
      </w:r>
      <w:r w:rsidR="00E96B1E">
        <w:rPr>
          <w:sz w:val="22"/>
          <w:szCs w:val="22"/>
        </w:rPr>
      </w:r>
      <w:r w:rsidR="00E96B1E">
        <w:rPr>
          <w:sz w:val="22"/>
          <w:szCs w:val="22"/>
        </w:rPr>
        <w:fldChar w:fldCharType="separate"/>
      </w:r>
      <w:r w:rsidR="00D62F01">
        <w:rPr>
          <w:sz w:val="22"/>
          <w:szCs w:val="22"/>
        </w:rPr>
        <w:t>4.8</w:t>
      </w:r>
      <w:r w:rsidR="00E96B1E">
        <w:rPr>
          <w:sz w:val="22"/>
          <w:szCs w:val="22"/>
        </w:rPr>
        <w:fldChar w:fldCharType="end"/>
      </w:r>
      <w:r w:rsidR="00E96B1E">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572C637" w14:textId="77777777" w:rsidR="00DF5356" w:rsidRDefault="00F760EF" w:rsidP="00FE2BC8">
      <w:pPr>
        <w:pStyle w:val="Textodst1sl"/>
        <w:numPr>
          <w:ilvl w:val="0"/>
          <w:numId w:val="0"/>
        </w:numPr>
        <w:ind w:left="1430"/>
        <w:rPr>
          <w:sz w:val="22"/>
          <w:szCs w:val="22"/>
        </w:rPr>
      </w:pPr>
      <w:r w:rsidRPr="00DF5356">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w:t>
      </w:r>
      <w:r w:rsidR="00287F62" w:rsidRPr="00DF5356">
        <w:rPr>
          <w:sz w:val="22"/>
          <w:szCs w:val="22"/>
        </w:rPr>
        <w:t>Směrnice R-Sm-16-02</w:t>
      </w:r>
      <w:r w:rsidR="00287F62">
        <w:rPr>
          <w:rStyle w:val="Znakapoznpodarou"/>
          <w:sz w:val="22"/>
          <w:szCs w:val="22"/>
        </w:rPr>
        <w:footnoteReference w:id="1"/>
      </w:r>
      <w:r w:rsidR="00287F62" w:rsidRPr="00DF5356">
        <w:rPr>
          <w:sz w:val="22"/>
          <w:szCs w:val="22"/>
        </w:rPr>
        <w:t xml:space="preserve">). </w:t>
      </w:r>
    </w:p>
    <w:p w14:paraId="7610E2CC" w14:textId="270928E6" w:rsidR="00F760EF" w:rsidRPr="00DF5356" w:rsidRDefault="00F760EF" w:rsidP="00FE2BC8">
      <w:pPr>
        <w:pStyle w:val="Textodst1sl"/>
        <w:numPr>
          <w:ilvl w:val="0"/>
          <w:numId w:val="0"/>
        </w:numPr>
        <w:ind w:left="1430"/>
        <w:rPr>
          <w:sz w:val="22"/>
          <w:szCs w:val="22"/>
        </w:rPr>
      </w:pPr>
      <w:r w:rsidRPr="00DF5356">
        <w:rPr>
          <w:sz w:val="22"/>
          <w:szCs w:val="22"/>
        </w:rPr>
        <w:t xml:space="preserve">Zhotovitel je povinen nepotřebný materiál neuvedený ve Směrnici R-Sm-16, zejm. přírodninu a demoliční a stavební materiál, recyklovat v souladu se Směrnicí R-Sm-42 </w:t>
      </w:r>
      <w:r>
        <w:rPr>
          <w:rStyle w:val="Znakapoznpodarou"/>
          <w:sz w:val="22"/>
          <w:szCs w:val="22"/>
        </w:rPr>
        <w:footnoteReference w:id="2"/>
      </w:r>
      <w:r w:rsidRPr="00DF5356">
        <w:rPr>
          <w:sz w:val="22"/>
          <w:szCs w:val="22"/>
        </w:rPr>
        <w:t xml:space="preserve"> a dále v souladu </w:t>
      </w:r>
      <w:r w:rsidRPr="00DF5356">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75B2AD15" w:rsidR="00E03D24" w:rsidRPr="00F13457" w:rsidRDefault="00E03D24" w:rsidP="001C005D">
      <w:pPr>
        <w:pStyle w:val="Textodst1sl"/>
        <w:rPr>
          <w:sz w:val="22"/>
          <w:szCs w:val="22"/>
        </w:rPr>
      </w:pPr>
      <w:r w:rsidRPr="00F13457">
        <w:rPr>
          <w:sz w:val="22"/>
          <w:szCs w:val="22"/>
        </w:rPr>
        <w:t xml:space="preserve">Zhotovitel </w:t>
      </w:r>
      <w:r w:rsidR="00E34EC5">
        <w:rPr>
          <w:sz w:val="22"/>
          <w:szCs w:val="22"/>
        </w:rPr>
        <w:t xml:space="preserve">je povinen </w:t>
      </w:r>
      <w:r w:rsidRPr="00F13457">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F13457">
        <w:rPr>
          <w:sz w:val="22"/>
          <w:szCs w:val="22"/>
        </w:rPr>
        <w:t>DWG</w:t>
      </w:r>
      <w:r w:rsidRPr="00F13457">
        <w:rPr>
          <w:sz w:val="22"/>
          <w:szCs w:val="22"/>
        </w:rPr>
        <w:t xml:space="preserve"> - AutoCAD 2004 a *.</w:t>
      </w:r>
      <w:r w:rsidR="00C559BB" w:rsidRPr="00F13457">
        <w:rPr>
          <w:sz w:val="22"/>
          <w:szCs w:val="22"/>
        </w:rPr>
        <w:t>PDF</w:t>
      </w:r>
      <w:r w:rsidRPr="00F13457">
        <w:rPr>
          <w:sz w:val="22"/>
          <w:szCs w:val="22"/>
        </w:rPr>
        <w:t>, popřípadě jiné.</w:t>
      </w:r>
      <w:r w:rsidRPr="00F13457">
        <w:rPr>
          <w:sz w:val="22"/>
          <w:szCs w:val="22"/>
        </w:rPr>
        <w:tab/>
      </w:r>
    </w:p>
    <w:p w14:paraId="2F9F0829" w14:textId="2D885382" w:rsidR="00AB0A07" w:rsidRPr="00F13457" w:rsidRDefault="009A52D8" w:rsidP="00E03D24">
      <w:pPr>
        <w:pStyle w:val="Textodst1sl"/>
        <w:rPr>
          <w:sz w:val="22"/>
          <w:szCs w:val="22"/>
        </w:rPr>
      </w:pPr>
      <w:r>
        <w:rPr>
          <w:sz w:val="22"/>
          <w:szCs w:val="22"/>
        </w:rPr>
        <w:t xml:space="preserve">Do 4 týdnů od výzvy je </w:t>
      </w:r>
      <w:r w:rsidR="00F13457" w:rsidRPr="00F13457">
        <w:rPr>
          <w:sz w:val="22"/>
          <w:szCs w:val="22"/>
        </w:rPr>
        <w:t>Zhotovitel povinen předložit Objednateli k odsouhlasení koncept realizační dokumentace stavby.</w:t>
      </w:r>
    </w:p>
    <w:p w14:paraId="02870CAF" w14:textId="6CADDBF8" w:rsidR="00E03D24" w:rsidRPr="00F13457" w:rsidRDefault="00E03D24" w:rsidP="00E03D24">
      <w:pPr>
        <w:pStyle w:val="Textodst1sl"/>
        <w:rPr>
          <w:sz w:val="22"/>
          <w:szCs w:val="22"/>
        </w:rPr>
      </w:pPr>
      <w:r w:rsidRPr="00F13457">
        <w:rPr>
          <w:sz w:val="22"/>
          <w:szCs w:val="22"/>
        </w:rPr>
        <w:t>Koncept realizační dokumentace stavby musí vycházet ze Závazné dokumentace a její obsah se nesmí lišit v technologickém postupu dané stavby.</w:t>
      </w:r>
    </w:p>
    <w:p w14:paraId="11FE426C" w14:textId="3F7529CF" w:rsidR="00E03D24" w:rsidRPr="00F13457" w:rsidRDefault="00E03D24" w:rsidP="00E03D24">
      <w:pPr>
        <w:pStyle w:val="Textodst1sl"/>
        <w:rPr>
          <w:sz w:val="22"/>
          <w:szCs w:val="22"/>
        </w:rPr>
      </w:pPr>
      <w:r w:rsidRPr="00F13457">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F13457" w:rsidRDefault="00E03D24" w:rsidP="00E03D24">
      <w:pPr>
        <w:pStyle w:val="Textodst1sl"/>
        <w:rPr>
          <w:sz w:val="22"/>
          <w:szCs w:val="22"/>
        </w:rPr>
      </w:pPr>
      <w:r w:rsidRPr="00F13457">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F13457" w:rsidRDefault="00E03D24" w:rsidP="00E03D24">
      <w:pPr>
        <w:pStyle w:val="Textodst1sl"/>
        <w:rPr>
          <w:sz w:val="22"/>
          <w:szCs w:val="22"/>
        </w:rPr>
      </w:pPr>
      <w:r w:rsidRPr="00F13457">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1A67190"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ředáním Staveniště dle odst</w:t>
      </w:r>
      <w:r w:rsidR="00E96B1E">
        <w:rPr>
          <w:sz w:val="22"/>
          <w:szCs w:val="22"/>
        </w:rPr>
        <w:t>.</w:t>
      </w:r>
      <w:r w:rsidR="005E543A">
        <w:rPr>
          <w:sz w:val="22"/>
          <w:szCs w:val="22"/>
        </w:rPr>
        <w:t xml:space="preserve"> </w:t>
      </w:r>
      <w:r w:rsidR="005E543A">
        <w:rPr>
          <w:sz w:val="22"/>
          <w:szCs w:val="22"/>
        </w:rPr>
        <w:fldChar w:fldCharType="begin"/>
      </w:r>
      <w:r w:rsidR="005E543A">
        <w:rPr>
          <w:sz w:val="22"/>
          <w:szCs w:val="22"/>
        </w:rPr>
        <w:instrText xml:space="preserve"> REF _Ref182770033 \r \h </w:instrText>
      </w:r>
      <w:r w:rsidR="005E543A">
        <w:rPr>
          <w:sz w:val="22"/>
          <w:szCs w:val="22"/>
        </w:rPr>
      </w:r>
      <w:r w:rsidR="005E543A">
        <w:rPr>
          <w:sz w:val="22"/>
          <w:szCs w:val="22"/>
        </w:rPr>
        <w:fldChar w:fldCharType="separate"/>
      </w:r>
      <w:r w:rsidR="00D62F01">
        <w:rPr>
          <w:sz w:val="22"/>
          <w:szCs w:val="22"/>
        </w:rPr>
        <w:t>3.1</w:t>
      </w:r>
      <w:r w:rsidR="005E543A">
        <w:rPr>
          <w:sz w:val="22"/>
          <w:szCs w:val="22"/>
        </w:rPr>
        <w:fldChar w:fldCharType="end"/>
      </w:r>
      <w:r w:rsidR="005E543A">
        <w:rPr>
          <w:sz w:val="22"/>
          <w:szCs w:val="22"/>
        </w:rPr>
        <w:t>.</w:t>
      </w:r>
      <w:r w:rsidR="00E96B1E">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bookmarkStart w:id="4" w:name="_Ref182768599"/>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w:t>
      </w:r>
      <w:r w:rsidRPr="004A1FD6">
        <w:rPr>
          <w:sz w:val="22"/>
          <w:szCs w:val="22"/>
        </w:rPr>
        <w:lastRenderedPageBreak/>
        <w:t xml:space="preserve">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bookmarkEnd w:id="4"/>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38D7DE55"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702C69">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1A364210" w:rsidR="00F30305" w:rsidRPr="005441AC" w:rsidRDefault="00F30305" w:rsidP="00F30305">
      <w:pPr>
        <w:pStyle w:val="Textodst1sl"/>
        <w:rPr>
          <w:sz w:val="22"/>
          <w:szCs w:val="22"/>
        </w:rPr>
      </w:pPr>
      <w:r w:rsidRPr="0038024A">
        <w:rPr>
          <w:sz w:val="22"/>
          <w:szCs w:val="22"/>
        </w:rPr>
        <w:t>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w:t>
      </w:r>
      <w:r w:rsidR="00BD7564">
        <w:rPr>
          <w:sz w:val="22"/>
          <w:szCs w:val="22"/>
        </w:rPr>
        <w:t xml:space="preserve"> zejména</w:t>
      </w:r>
      <w:r w:rsidRPr="0038024A">
        <w:rPr>
          <w:sz w:val="22"/>
          <w:szCs w:val="22"/>
        </w:rPr>
        <w:t xml:space="preserve"> při neplnění povinností personálu Zhotovitele, při nespokojenosti s kvalitou Díla nebo při porušování povinností ze strany Zhotovitele, požadovat výměnu kteréhokoli </w:t>
      </w:r>
      <w:r w:rsidRPr="0038024A">
        <w:rPr>
          <w:sz w:val="22"/>
          <w:szCs w:val="22"/>
        </w:rPr>
        <w:lastRenderedPageBreak/>
        <w:t xml:space="preserve">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3A94FDF5" w:rsidR="00F5498E" w:rsidRDefault="00F5498E" w:rsidP="00F5498E">
      <w:pPr>
        <w:pStyle w:val="Textodst1sl"/>
        <w:rPr>
          <w:sz w:val="22"/>
          <w:szCs w:val="22"/>
        </w:rPr>
      </w:pPr>
      <w:bookmarkStart w:id="5"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AF62C9">
        <w:rPr>
          <w:sz w:val="22"/>
          <w:szCs w:val="22"/>
        </w:rPr>
        <w:t>7</w:t>
      </w:r>
      <w:r w:rsidR="00E403DD">
        <w:rPr>
          <w:sz w:val="22"/>
          <w:szCs w:val="22"/>
        </w:rPr>
        <w:t xml:space="preserve"> Písemné výzvy dodavatelům – není požadováno</w:t>
      </w:r>
      <w:r>
        <w:rPr>
          <w:sz w:val="22"/>
          <w:szCs w:val="22"/>
        </w:rPr>
        <w:t>).</w:t>
      </w:r>
      <w:bookmarkEnd w:id="5"/>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1D40ECEA" w14:textId="77777777" w:rsidR="00F30305" w:rsidRPr="00365FD7" w:rsidRDefault="00F30305" w:rsidP="00F30305">
      <w:pPr>
        <w:pStyle w:val="Textodst1sl"/>
        <w:rPr>
          <w:sz w:val="22"/>
          <w:szCs w:val="22"/>
        </w:rPr>
      </w:pPr>
      <w:r w:rsidRPr="00365FD7">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5ECD89FF" w14:textId="77777777" w:rsidR="00F30305" w:rsidRPr="00365FD7" w:rsidRDefault="00F30305" w:rsidP="00F30305">
      <w:pPr>
        <w:pStyle w:val="Textodst1sl"/>
        <w:rPr>
          <w:sz w:val="22"/>
          <w:szCs w:val="22"/>
        </w:rPr>
      </w:pPr>
      <w:r w:rsidRPr="00365FD7">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57BFEFF4" w14:textId="77777777" w:rsidR="00D17E81" w:rsidRPr="00B470A8" w:rsidRDefault="00D17E81" w:rsidP="00D17E81">
      <w:pPr>
        <w:pStyle w:val="Textodst1sl"/>
        <w:rPr>
          <w:sz w:val="22"/>
          <w:szCs w:val="22"/>
        </w:rPr>
      </w:pPr>
      <w:r w:rsidRPr="00B470A8">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w:t>
      </w:r>
      <w:r w:rsidRPr="00B470A8">
        <w:rPr>
          <w:sz w:val="22"/>
          <w:szCs w:val="22"/>
        </w:rPr>
        <w:lastRenderedPageBreak/>
        <w:t>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298DE69" w14:textId="2F13B4B5" w:rsidR="008200FA" w:rsidRPr="00F04838" w:rsidRDefault="00C6543A" w:rsidP="008200FA">
      <w:pPr>
        <w:pStyle w:val="Textodst1sl"/>
        <w:rPr>
          <w:sz w:val="22"/>
          <w:szCs w:val="22"/>
        </w:rPr>
      </w:pPr>
      <w:bookmarkStart w:id="6" w:name="o67"/>
      <w:bookmarkStart w:id="7" w:name="_Ref180486087"/>
      <w:bookmarkEnd w:id="6"/>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w:t>
      </w:r>
      <w:r>
        <w:rPr>
          <w:sz w:val="22"/>
          <w:szCs w:val="22"/>
        </w:rPr>
        <w:lastRenderedPageBreak/>
        <w:t>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w:t>
      </w:r>
      <w:r w:rsidR="006553C0">
        <w:rPr>
          <w:sz w:val="22"/>
          <w:szCs w:val="22"/>
        </w:rPr>
        <w:t>e</w:t>
      </w:r>
      <w:r w:rsidR="008200FA" w:rsidRPr="0038024A">
        <w:rPr>
          <w:sz w:val="22"/>
          <w:szCs w:val="22"/>
        </w:rPr>
        <w:t>:</w:t>
      </w:r>
      <w:bookmarkEnd w:id="7"/>
      <w:r w:rsidR="008200FA" w:rsidRPr="0038024A">
        <w:rPr>
          <w:sz w:val="22"/>
          <w:szCs w:val="22"/>
        </w:rPr>
        <w:t xml:space="preserve">             </w:t>
      </w:r>
    </w:p>
    <w:p w14:paraId="5D9926ED" w14:textId="77777777" w:rsidR="008200FA" w:rsidRPr="00C81FCE" w:rsidRDefault="008200FA" w:rsidP="008200FA">
      <w:pPr>
        <w:pStyle w:val="Textodst3psmena"/>
        <w:numPr>
          <w:ilvl w:val="3"/>
          <w:numId w:val="20"/>
        </w:numPr>
        <w:ind w:left="1843"/>
        <w:rPr>
          <w:sz w:val="22"/>
          <w:szCs w:val="22"/>
        </w:rPr>
      </w:pPr>
      <w:r w:rsidRPr="00C81FCE">
        <w:rPr>
          <w:sz w:val="22"/>
          <w:szCs w:val="22"/>
        </w:rPr>
        <w:t>při snížení rozsahu se Cena Díla odpovídajícím způsobem sníží,</w:t>
      </w:r>
    </w:p>
    <w:p w14:paraId="5777488F" w14:textId="77777777" w:rsidR="008200FA" w:rsidRPr="00FC30DC" w:rsidRDefault="008200FA" w:rsidP="008200FA">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16277676" w14:textId="77777777" w:rsidR="008200FA" w:rsidRPr="008C4A68" w:rsidRDefault="008200FA" w:rsidP="008200FA">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02F83E8C" w14:textId="77777777" w:rsidR="008200FA" w:rsidRPr="008C4A68" w:rsidRDefault="008200FA" w:rsidP="008200FA">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0A2A79" w14:textId="088444C0" w:rsidR="00CE6E8C" w:rsidRPr="00B970DD" w:rsidRDefault="008200FA" w:rsidP="008200FA">
      <w:pPr>
        <w:pStyle w:val="Textodst3psmena"/>
        <w:numPr>
          <w:ilvl w:val="3"/>
          <w:numId w:val="20"/>
        </w:numPr>
        <w:ind w:left="1843"/>
        <w:rPr>
          <w:sz w:val="22"/>
          <w:szCs w:val="22"/>
        </w:rPr>
      </w:pPr>
      <w:r>
        <w:rPr>
          <w:sz w:val="22"/>
          <w:szCs w:val="22"/>
        </w:rPr>
        <w:t>Zhotovitel se zavazuje vyhotovovat Změnové listy a jejich přílohy a předkládat je Objednateli výlučně ve formátu, který stanoví Směrnice</w:t>
      </w:r>
      <w:r w:rsidR="00CE6E8C" w:rsidRPr="00B970DD">
        <w:rPr>
          <w:sz w:val="22"/>
          <w:szCs w:val="22"/>
        </w:rPr>
        <w:t>.</w:t>
      </w:r>
    </w:p>
    <w:p w14:paraId="54752CE1" w14:textId="77777777" w:rsidR="000A5912" w:rsidRPr="00B970DD" w:rsidRDefault="000A5912" w:rsidP="000A5912">
      <w:pPr>
        <w:pStyle w:val="Textodst1sl"/>
        <w:rPr>
          <w:sz w:val="22"/>
          <w:szCs w:val="22"/>
        </w:rPr>
      </w:pPr>
      <w:r w:rsidRPr="00B970DD">
        <w:rPr>
          <w:sz w:val="22"/>
          <w:szCs w:val="22"/>
        </w:rPr>
        <w:t>Objednatel si v Závazné dokumentaci vyhradil v souladu s § 100 odst. 1 a § 222 odst. 2 ZZVZ následující změny závazku, které mohou být Objednatelem po dobu plnění Smlouvy uplatněny postupem podle Směrnice:</w:t>
      </w:r>
    </w:p>
    <w:p w14:paraId="045174E3" w14:textId="77777777" w:rsidR="00CB123B" w:rsidRDefault="000A5912" w:rsidP="000A5912">
      <w:pPr>
        <w:pStyle w:val="Textodst1sl"/>
        <w:numPr>
          <w:ilvl w:val="0"/>
          <w:numId w:val="51"/>
        </w:numPr>
        <w:rPr>
          <w:sz w:val="22"/>
          <w:szCs w:val="22"/>
        </w:rPr>
      </w:pPr>
      <w:r w:rsidRPr="00B970DD">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w:t>
      </w:r>
    </w:p>
    <w:p w14:paraId="42E8FD06" w14:textId="77777777" w:rsidR="00776567" w:rsidRDefault="000A5912" w:rsidP="000A5912">
      <w:pPr>
        <w:pStyle w:val="Textodst1sl"/>
        <w:numPr>
          <w:ilvl w:val="0"/>
          <w:numId w:val="51"/>
        </w:numPr>
        <w:rPr>
          <w:sz w:val="22"/>
          <w:szCs w:val="22"/>
        </w:rPr>
      </w:pPr>
      <w:r w:rsidRPr="00B970DD">
        <w:rPr>
          <w:sz w:val="22"/>
          <w:szCs w:val="22"/>
        </w:rPr>
        <w:t xml:space="preserve">Maximální vyhrazená změna nesmí překročit 10 % celkové ceny díla dle čl. 8.1 Smlouvy ke dni uzavření Smlouvy. </w:t>
      </w:r>
    </w:p>
    <w:p w14:paraId="2E479D50" w14:textId="6E9AC79E" w:rsidR="000A5912" w:rsidRPr="00B970DD" w:rsidRDefault="000A5912" w:rsidP="000A5912">
      <w:pPr>
        <w:pStyle w:val="Textodst1sl"/>
        <w:numPr>
          <w:ilvl w:val="0"/>
          <w:numId w:val="51"/>
        </w:numPr>
        <w:rPr>
          <w:sz w:val="22"/>
          <w:szCs w:val="22"/>
        </w:rPr>
      </w:pPr>
      <w:r w:rsidRPr="00B970DD">
        <w:rPr>
          <w:sz w:val="22"/>
          <w:szCs w:val="22"/>
        </w:rPr>
        <w:t>Pro tyto změny se použije dokument Evidence změny dle Směrnice;</w:t>
      </w:r>
    </w:p>
    <w:p w14:paraId="0C6ADD48" w14:textId="08ED242D" w:rsidR="000A5912" w:rsidRPr="00B970DD" w:rsidRDefault="000A5912" w:rsidP="000A5912">
      <w:pPr>
        <w:pStyle w:val="Textodst1sl"/>
        <w:numPr>
          <w:ilvl w:val="0"/>
          <w:numId w:val="51"/>
        </w:numPr>
        <w:rPr>
          <w:sz w:val="22"/>
          <w:szCs w:val="22"/>
        </w:rPr>
      </w:pPr>
      <w:r w:rsidRPr="00B970DD">
        <w:rPr>
          <w:sz w:val="22"/>
          <w:szCs w:val="22"/>
        </w:rPr>
        <w:t>prodloužení termínů plnění Díla v případech uvedených v </w:t>
      </w:r>
      <w:r w:rsidR="00950151" w:rsidRPr="00B970DD">
        <w:rPr>
          <w:sz w:val="22"/>
          <w:szCs w:val="22"/>
        </w:rPr>
        <w:t>odst</w:t>
      </w:r>
      <w:r w:rsidRPr="00B970DD">
        <w:rPr>
          <w:sz w:val="22"/>
          <w:szCs w:val="22"/>
        </w:rPr>
        <w:t xml:space="preserve">. </w:t>
      </w:r>
      <w:r w:rsidR="00D62F01" w:rsidRPr="00B970DD">
        <w:rPr>
          <w:sz w:val="22"/>
          <w:szCs w:val="22"/>
        </w:rPr>
        <w:fldChar w:fldCharType="begin"/>
      </w:r>
      <w:r w:rsidR="00D62F01" w:rsidRPr="00B970DD">
        <w:rPr>
          <w:sz w:val="22"/>
          <w:szCs w:val="22"/>
        </w:rPr>
        <w:instrText xml:space="preserve"> REF _Ref182768688 \r \h </w:instrText>
      </w:r>
      <w:r w:rsidR="00B970DD">
        <w:rPr>
          <w:sz w:val="22"/>
          <w:szCs w:val="22"/>
        </w:rPr>
        <w:instrText xml:space="preserve"> \* MERGEFORMAT </w:instrText>
      </w:r>
      <w:r w:rsidR="00D62F01" w:rsidRPr="00B970DD">
        <w:rPr>
          <w:sz w:val="22"/>
          <w:szCs w:val="22"/>
        </w:rPr>
      </w:r>
      <w:r w:rsidR="00D62F01" w:rsidRPr="00B970DD">
        <w:rPr>
          <w:sz w:val="22"/>
          <w:szCs w:val="22"/>
        </w:rPr>
        <w:fldChar w:fldCharType="separate"/>
      </w:r>
      <w:r w:rsidR="00D62F01" w:rsidRPr="00B970DD">
        <w:rPr>
          <w:sz w:val="22"/>
          <w:szCs w:val="22"/>
        </w:rPr>
        <w:t>4.8</w:t>
      </w:r>
      <w:r w:rsidR="00D62F01" w:rsidRPr="00B970DD">
        <w:rPr>
          <w:sz w:val="22"/>
          <w:szCs w:val="22"/>
        </w:rPr>
        <w:fldChar w:fldCharType="end"/>
      </w:r>
      <w:r w:rsidR="00950151" w:rsidRPr="00B970DD">
        <w:rPr>
          <w:sz w:val="22"/>
          <w:szCs w:val="22"/>
        </w:rPr>
        <w:t>.</w:t>
      </w:r>
      <w:r w:rsidR="00D62F01" w:rsidRPr="00B970DD">
        <w:rPr>
          <w:sz w:val="22"/>
          <w:szCs w:val="22"/>
        </w:rPr>
        <w:t xml:space="preserve"> </w:t>
      </w:r>
      <w:r w:rsidRPr="00B970DD">
        <w:rPr>
          <w:sz w:val="22"/>
          <w:szCs w:val="22"/>
        </w:rPr>
        <w:t>této Smlouvy.</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5ADCB298" w14:textId="11A56342" w:rsidR="0015060E" w:rsidRPr="0015060E" w:rsidRDefault="00615BF5" w:rsidP="0015060E">
      <w:pPr>
        <w:pStyle w:val="Textodst1sl"/>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Smlouvou</w:t>
      </w:r>
      <w:r w:rsidR="0015060E" w:rsidRPr="0015060E">
        <w:rPr>
          <w:sz w:val="22"/>
          <w:szCs w:val="22"/>
        </w:rPr>
        <w:t xml:space="preserve">. </w:t>
      </w:r>
    </w:p>
    <w:p w14:paraId="5FBC5638" w14:textId="638F3CE3" w:rsidR="0015060E" w:rsidRPr="0015060E" w:rsidRDefault="002F39AD" w:rsidP="0015060E">
      <w:pPr>
        <w:pStyle w:val="Textodst1sl"/>
        <w:rPr>
          <w:sz w:val="22"/>
          <w:szCs w:val="22"/>
        </w:rPr>
      </w:pPr>
      <w:bookmarkStart w:id="8" w:name="_Ref182774150"/>
      <w:bookmarkStart w:id="9" w:name="_Ref190937010"/>
      <w:r>
        <w:rPr>
          <w:sz w:val="22"/>
          <w:szCs w:val="22"/>
        </w:rPr>
        <w:t>Z</w:t>
      </w:r>
      <w:r w:rsidRPr="00E74ACB">
        <w:rPr>
          <w:sz w:val="22"/>
          <w:szCs w:val="22"/>
        </w:rPr>
        <w:t xml:space="preserve">hotovitel předává </w:t>
      </w:r>
      <w:r w:rsidR="004362CB">
        <w:rPr>
          <w:sz w:val="22"/>
          <w:szCs w:val="22"/>
        </w:rPr>
        <w:t xml:space="preserve">Dílo </w:t>
      </w:r>
      <w:r w:rsidRPr="00E74ACB">
        <w:rPr>
          <w:sz w:val="22"/>
          <w:szCs w:val="22"/>
        </w:rPr>
        <w:t xml:space="preserve">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Pr>
          <w:sz w:val="22"/>
          <w:szCs w:val="22"/>
        </w:rPr>
        <w:t>. Dílo je dokončeno je-li převedena jeho způsobilost sloužit svému účelu</w:t>
      </w:r>
      <w:r w:rsidRPr="00B56F04">
        <w:rPr>
          <w:sz w:val="22"/>
          <w:szCs w:val="22"/>
        </w:rPr>
        <w:t xml:space="preserve">. O předání bude sepsán zápis o odevzdání a převzetí dokončené budovy nebo stavby, který podepíší obě smluvní strany a SD a jehož vzor tvoří Přílohu č. </w:t>
      </w:r>
      <w:r>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xml:space="preserve">). Součástí Předávacího protokolu bude též rozsah Zhotovitelem poskytnutého a Objednatelem </w:t>
      </w:r>
      <w:r w:rsidRPr="00B56F04">
        <w:rPr>
          <w:sz w:val="22"/>
          <w:szCs w:val="22"/>
        </w:rPr>
        <w:lastRenderedPageBreak/>
        <w:t>odsouhlaseného plnění. K předání a převzetí Díla vyzve Zhotovitel Objednatele alespoň 5 dnů předem zápisem ve stavebním deníku</w:t>
      </w:r>
      <w:r w:rsidR="0015060E" w:rsidRPr="0015060E">
        <w:rPr>
          <w:sz w:val="22"/>
          <w:szCs w:val="22"/>
        </w:rPr>
        <w:t>.</w:t>
      </w:r>
      <w:bookmarkEnd w:id="8"/>
      <w:bookmarkEnd w:id="9"/>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3754A3FB"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F1500F">
        <w:rPr>
          <w:sz w:val="22"/>
          <w:szCs w:val="22"/>
        </w:rPr>
        <w:t xml:space="preserve"> </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F706F51"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0C2CEE">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w:t>
      </w:r>
      <w:r w:rsidRPr="00B56F04">
        <w:rPr>
          <w:sz w:val="22"/>
          <w:szCs w:val="22"/>
        </w:rPr>
        <w:lastRenderedPageBreak/>
        <w:t xml:space="preserve">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5A4EA80D" w14:textId="77777777" w:rsidR="0061728D" w:rsidRPr="00B56F04" w:rsidRDefault="0061728D" w:rsidP="0061728D">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7777777"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21 dní předem a Objednatel termín a místo zkoušky schválí nebo s ním vyjádří svůj nesouhlas nejpozději do 7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77777777" w:rsidR="00CA06DE" w:rsidRPr="00F30305" w:rsidRDefault="00CA06DE" w:rsidP="00CA06DE">
      <w:pPr>
        <w:pStyle w:val="Textodst1sl"/>
        <w:rPr>
          <w:sz w:val="22"/>
          <w:szCs w:val="22"/>
        </w:rPr>
      </w:pPr>
      <w:r>
        <w:rPr>
          <w:sz w:val="22"/>
          <w:szCs w:val="22"/>
        </w:rPr>
        <w:t>V případě pokládky asfaltových povrchů bude součástí závěrečné zprávy i zatřídění nových asfaltových vrstev akreditovanou laboratoří se stanovením třídy asfaltových směsí dle Vyhlášky č. 130/2019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10" w:name="_Ref182768796"/>
      <w:r w:rsidRPr="0038024A">
        <w:rPr>
          <w:sz w:val="22"/>
          <w:szCs w:val="22"/>
        </w:rPr>
        <w:t xml:space="preserve">Smluvní strany se dohodly, že celková Cena Díla </w:t>
      </w:r>
      <w:r w:rsidRPr="00F04838">
        <w:rPr>
          <w:sz w:val="22"/>
          <w:szCs w:val="22"/>
        </w:rPr>
        <w:t>je stanovena jako neměnná a konečná a činí:</w:t>
      </w:r>
      <w:bookmarkEnd w:id="10"/>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Pr="00B970DD"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B970DD">
        <w:rPr>
          <w:sz w:val="22"/>
          <w:szCs w:val="22"/>
        </w:rPr>
        <w:t xml:space="preserve">se stanoví, že veškerá množství uvedená v soupise prací k Dílu a jeho jednotlivým částem jsou pouze odhadovaná, a jejich změna neznamená změnu Ceny Díla. </w:t>
      </w:r>
    </w:p>
    <w:p w14:paraId="69BEB40A" w14:textId="0C9182C2" w:rsidR="00D7081F" w:rsidRDefault="00D7081F" w:rsidP="00D7081F">
      <w:pPr>
        <w:pStyle w:val="Textodst1sl"/>
        <w:numPr>
          <w:ilvl w:val="0"/>
          <w:numId w:val="0"/>
        </w:numPr>
        <w:ind w:left="1416"/>
        <w:rPr>
          <w:sz w:val="22"/>
          <w:szCs w:val="22"/>
        </w:rPr>
      </w:pPr>
      <w:r w:rsidRPr="00B970DD">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w:t>
      </w:r>
      <w:r w:rsidRPr="00B970DD">
        <w:rPr>
          <w:sz w:val="22"/>
          <w:szCs w:val="22"/>
        </w:rPr>
        <w:lastRenderedPageBreak/>
        <w:t xml:space="preserve">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8F1A09" w:rsidRPr="00B970DD">
        <w:rPr>
          <w:sz w:val="22"/>
          <w:szCs w:val="22"/>
        </w:rPr>
        <w:fldChar w:fldCharType="begin"/>
      </w:r>
      <w:r w:rsidR="008F1A09" w:rsidRPr="00B970DD">
        <w:rPr>
          <w:sz w:val="22"/>
          <w:szCs w:val="22"/>
        </w:rPr>
        <w:instrText xml:space="preserve"> REF _Ref182770809 \r \h </w:instrText>
      </w:r>
      <w:r w:rsidR="00B970DD">
        <w:rPr>
          <w:sz w:val="22"/>
          <w:szCs w:val="22"/>
        </w:rPr>
        <w:instrText xml:space="preserve"> \* MERGEFORMAT </w:instrText>
      </w:r>
      <w:r w:rsidR="008F1A09" w:rsidRPr="00B970DD">
        <w:rPr>
          <w:sz w:val="22"/>
          <w:szCs w:val="22"/>
        </w:rPr>
      </w:r>
      <w:r w:rsidR="008F1A09" w:rsidRPr="00B970DD">
        <w:rPr>
          <w:sz w:val="22"/>
          <w:szCs w:val="22"/>
        </w:rPr>
        <w:fldChar w:fldCharType="separate"/>
      </w:r>
      <w:r w:rsidR="00D62F01" w:rsidRPr="00B970DD">
        <w:rPr>
          <w:sz w:val="22"/>
          <w:szCs w:val="22"/>
        </w:rPr>
        <w:t>6.7</w:t>
      </w:r>
      <w:r w:rsidR="008F1A09" w:rsidRPr="00B970DD">
        <w:rPr>
          <w:sz w:val="22"/>
          <w:szCs w:val="22"/>
        </w:rPr>
        <w:fldChar w:fldCharType="end"/>
      </w:r>
      <w:r w:rsidR="008F1A09" w:rsidRPr="00B970DD">
        <w:rPr>
          <w:sz w:val="22"/>
          <w:szCs w:val="22"/>
        </w:rPr>
        <w:t xml:space="preserve">. </w:t>
      </w:r>
      <w:r w:rsidRPr="00B970DD">
        <w:rPr>
          <w:sz w:val="22"/>
          <w:szCs w:val="22"/>
        </w:rPr>
        <w:t xml:space="preserve"> Smlouvy) a rovněž položky, které nejsou součástí soupisu prací a výkazu výměr. Touto vyhrazenou změnou, tj. měřením však nesmí být (i) využití položkové ceny obsažené ve výkazu výměr pro ocenění nových prací neobsažených v původním předmětu veřejné zakázky, (ii) oprava zjevně vadně uvedeného množství položky (např. chyba o řád), či (iii) neprovedení položky či její podstatné části. Tato výhrada má charakter vyhrazené změny závazku ve smyslu § 100 odst. 1 zákona o zadávání veřejných zakázek.</w:t>
      </w:r>
      <w:r w:rsidRPr="0038024A">
        <w:rPr>
          <w:sz w:val="22"/>
          <w:szCs w:val="22"/>
        </w:rPr>
        <w:t xml:space="preserve"> </w:t>
      </w:r>
    </w:p>
    <w:p w14:paraId="6E51C7A9" w14:textId="0AEF68ED"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ZZVZ.</w:t>
      </w:r>
    </w:p>
    <w:p w14:paraId="58CA408E" w14:textId="5CF22309"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E96B1E">
        <w:rPr>
          <w:sz w:val="22"/>
          <w:szCs w:val="22"/>
        </w:rPr>
        <w:fldChar w:fldCharType="begin"/>
      </w:r>
      <w:r w:rsidR="00E96B1E">
        <w:rPr>
          <w:sz w:val="22"/>
          <w:szCs w:val="22"/>
        </w:rPr>
        <w:instrText xml:space="preserve"> REF _Ref182768796 \r \h </w:instrText>
      </w:r>
      <w:r w:rsidR="00E96B1E">
        <w:rPr>
          <w:sz w:val="22"/>
          <w:szCs w:val="22"/>
        </w:rPr>
      </w:r>
      <w:r w:rsidR="00E96B1E">
        <w:rPr>
          <w:sz w:val="22"/>
          <w:szCs w:val="22"/>
        </w:rPr>
        <w:fldChar w:fldCharType="separate"/>
      </w:r>
      <w:r w:rsidR="00D62F01">
        <w:rPr>
          <w:sz w:val="22"/>
          <w:szCs w:val="22"/>
        </w:rPr>
        <w:t>8.1</w:t>
      </w:r>
      <w:r w:rsidR="00E96B1E">
        <w:rPr>
          <w:sz w:val="22"/>
          <w:szCs w:val="22"/>
        </w:rPr>
        <w:fldChar w:fldCharType="end"/>
      </w:r>
      <w:r w:rsidR="00E96B1E">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596D622"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 xml:space="preserve">dle odst. </w:t>
      </w:r>
      <w:r w:rsidR="00E96B1E" w:rsidRPr="0038024A">
        <w:rPr>
          <w:sz w:val="22"/>
          <w:szCs w:val="22"/>
        </w:rPr>
        <w:t>8.1.</w:t>
      </w:r>
      <w:r w:rsidRPr="0038024A">
        <w:rPr>
          <w:sz w:val="22"/>
          <w:szCs w:val="22"/>
        </w:rPr>
        <w:t xml:space="preserve">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E96B1E" w:rsidRPr="0038024A">
        <w:rPr>
          <w:sz w:val="22"/>
          <w:szCs w:val="22"/>
        </w:rPr>
        <w:t>8.1.</w:t>
      </w:r>
      <w:r w:rsidR="00E96B1E">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11"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11"/>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36C0AE9D"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777C87">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w:t>
      </w:r>
      <w:r w:rsidRPr="00B07FC8">
        <w:rPr>
          <w:sz w:val="22"/>
          <w:szCs w:val="22"/>
        </w:rPr>
        <w:lastRenderedPageBreak/>
        <w:t>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5304900"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w:t>
      </w:r>
      <w:r w:rsidR="005277C9">
        <w:rPr>
          <w:sz w:val="22"/>
          <w:szCs w:val="22"/>
        </w:rPr>
        <w:t xml:space="preserve"> označení „SFDI“),</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lastRenderedPageBreak/>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Default="0038024A" w:rsidP="003C6092">
      <w:pPr>
        <w:pStyle w:val="Textodst1sl"/>
        <w:rPr>
          <w:sz w:val="22"/>
          <w:szCs w:val="22"/>
        </w:rPr>
      </w:pPr>
      <w:r w:rsidRPr="0038024A">
        <w:rPr>
          <w:sz w:val="22"/>
          <w:szCs w:val="22"/>
        </w:rPr>
        <w:t>Zhotovitel poskytuje Objednateli záruku za jakost Díla v délce trvání:</w:t>
      </w:r>
    </w:p>
    <w:p w14:paraId="448FABAC" w14:textId="77777777" w:rsidR="00E31046" w:rsidRPr="0091114A" w:rsidRDefault="00827719" w:rsidP="00E31046">
      <w:pPr>
        <w:pStyle w:val="Textodst1sl"/>
        <w:numPr>
          <w:ilvl w:val="0"/>
          <w:numId w:val="18"/>
        </w:numPr>
        <w:rPr>
          <w:b/>
          <w:sz w:val="22"/>
          <w:szCs w:val="22"/>
        </w:rPr>
      </w:pPr>
      <w:r>
        <w:rPr>
          <w:sz w:val="22"/>
          <w:szCs w:val="22"/>
        </w:rPr>
        <w:tab/>
      </w:r>
      <w:r w:rsidR="00E31046">
        <w:rPr>
          <w:b/>
          <w:sz w:val="22"/>
          <w:szCs w:val="22"/>
        </w:rPr>
        <w:t>60</w:t>
      </w:r>
      <w:r w:rsidR="00E31046"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6F566E4C" w:rsidR="003C6092" w:rsidRPr="005277C9" w:rsidRDefault="0038024A" w:rsidP="00705C8A">
      <w:pPr>
        <w:pStyle w:val="Textodst1sl"/>
        <w:numPr>
          <w:ilvl w:val="0"/>
          <w:numId w:val="0"/>
        </w:numPr>
        <w:ind w:left="1430"/>
        <w:rPr>
          <w:sz w:val="22"/>
          <w:szCs w:val="22"/>
        </w:rPr>
      </w:pPr>
      <w:r w:rsidRPr="005277C9">
        <w:rPr>
          <w:sz w:val="22"/>
          <w:szCs w:val="22"/>
        </w:rPr>
        <w:t>Záruční doby podle tohoto článku počínají běžet dnem protokolárního předání řádně dokončeného Díla (či jeho části) Objednateli dle odst. 7.1. Smlouvy, resp. podpisu zápisu dle odst. 7.4. Smlouvy. Doba od uplatnění prá</w:t>
      </w:r>
      <w:r w:rsidR="00F44CE4" w:rsidRPr="005277C9">
        <w:rPr>
          <w:sz w:val="22"/>
          <w:szCs w:val="22"/>
        </w:rPr>
        <w:t>va z titulu záruky za jakost až </w:t>
      </w:r>
      <w:r w:rsidRPr="005277C9">
        <w:rPr>
          <w:sz w:val="22"/>
          <w:szCs w:val="22"/>
        </w:rPr>
        <w:t>do doby odstranění příslušné vady se do záruční</w:t>
      </w:r>
      <w:r w:rsidR="00F44CE4" w:rsidRPr="005277C9">
        <w:rPr>
          <w:sz w:val="22"/>
          <w:szCs w:val="22"/>
        </w:rPr>
        <w:t xml:space="preserve"> doby Díla nezapočítává. Pro ty </w:t>
      </w:r>
      <w:r w:rsidRPr="005277C9">
        <w:rPr>
          <w:sz w:val="22"/>
          <w:szCs w:val="22"/>
        </w:rPr>
        <w:t xml:space="preserve">části Díla, které byly v důsledku vznesené reklamace Zhotovitelem opraveny, běží záruční doba opětovně od počátku ode dne provedení reklamační opravy. </w:t>
      </w:r>
    </w:p>
    <w:p w14:paraId="1B815FBA" w14:textId="6AA1B4F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334622">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1CE7CE9B"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 xml:space="preserve">2 % z celkové </w:t>
      </w:r>
      <w:r w:rsidR="00597535" w:rsidRPr="00597535">
        <w:rPr>
          <w:b/>
          <w:sz w:val="22"/>
          <w:szCs w:val="22"/>
        </w:rPr>
        <w:lastRenderedPageBreak/>
        <w:t>ceny Díla</w:t>
      </w:r>
      <w:r w:rsidR="00597535" w:rsidRPr="00597535">
        <w:rPr>
          <w:sz w:val="22"/>
          <w:szCs w:val="22"/>
        </w:rPr>
        <w:t xml:space="preserve"> bez DPH uvedené v odst. </w:t>
      </w:r>
      <w:r w:rsidR="00E96B1E" w:rsidRPr="0038024A">
        <w:rPr>
          <w:sz w:val="22"/>
          <w:szCs w:val="22"/>
        </w:rPr>
        <w:t>8.1.</w:t>
      </w:r>
      <w:r w:rsidR="00597535" w:rsidRPr="00597535">
        <w:rPr>
          <w:sz w:val="22"/>
          <w:szCs w:val="22"/>
        </w:rPr>
        <w:t xml:space="preserve">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1EB2D986"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F6B05B5"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D62F01">
        <w:rPr>
          <w:bCs/>
          <w:sz w:val="22"/>
          <w:szCs w:val="22"/>
        </w:rPr>
        <w:t>5.21</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12 zadávací dokumentace)</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55C9A82F" w14:textId="0FD88096" w:rsidR="00BD15A7" w:rsidRPr="00EF09CA" w:rsidRDefault="00BD15A7" w:rsidP="00295D00">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_Ref182770033 \r \h </w:instrText>
      </w:r>
      <w:r>
        <w:rPr>
          <w:bCs/>
          <w:sz w:val="22"/>
          <w:szCs w:val="22"/>
        </w:rPr>
      </w:r>
      <w:r>
        <w:rPr>
          <w:bCs/>
          <w:sz w:val="22"/>
          <w:szCs w:val="22"/>
        </w:rPr>
        <w:fldChar w:fldCharType="separate"/>
      </w:r>
      <w:r w:rsidR="00D62F01">
        <w:rPr>
          <w:bCs/>
          <w:sz w:val="22"/>
          <w:szCs w:val="22"/>
        </w:rPr>
        <w:t>3.1</w:t>
      </w:r>
      <w:r>
        <w:rPr>
          <w:bCs/>
          <w:sz w:val="22"/>
          <w:szCs w:val="22"/>
        </w:rPr>
        <w:fldChar w:fldCharType="end"/>
      </w:r>
      <w:r>
        <w:rPr>
          <w:bCs/>
          <w:sz w:val="22"/>
          <w:szCs w:val="22"/>
        </w:rPr>
        <w:t>.</w:t>
      </w:r>
      <w:r w:rsidRPr="00BD15A7">
        <w:rPr>
          <w:bCs/>
          <w:sz w:val="22"/>
          <w:szCs w:val="22"/>
        </w:rPr>
        <w:t xml:space="preserve"> 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06E9A3EB"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w:t>
      </w:r>
      <w:r w:rsidRPr="009B2AE8">
        <w:rPr>
          <w:sz w:val="22"/>
          <w:szCs w:val="22"/>
        </w:rPr>
        <w:t>odst.</w:t>
      </w:r>
      <w:hyperlink w:anchor="o67" w:history="1">
        <w:r w:rsidR="008F1A09" w:rsidRPr="009B2AE8">
          <w:rPr>
            <w:sz w:val="22"/>
            <w:szCs w:val="22"/>
          </w:rPr>
          <w:t xml:space="preserve"> </w:t>
        </w:r>
        <w:r w:rsidR="008F1A09" w:rsidRPr="009B2AE8">
          <w:rPr>
            <w:sz w:val="22"/>
            <w:szCs w:val="22"/>
          </w:rPr>
          <w:fldChar w:fldCharType="begin"/>
        </w:r>
        <w:r w:rsidR="008F1A09" w:rsidRPr="009B2AE8">
          <w:rPr>
            <w:sz w:val="22"/>
            <w:szCs w:val="22"/>
          </w:rPr>
          <w:instrText xml:space="preserve"> REF _Ref182770809 \r \h </w:instrText>
        </w:r>
        <w:r w:rsidR="009B2AE8">
          <w:rPr>
            <w:sz w:val="22"/>
            <w:szCs w:val="22"/>
          </w:rPr>
          <w:instrText xml:space="preserve"> \* MERGEFORMAT </w:instrText>
        </w:r>
        <w:r w:rsidR="008F1A09" w:rsidRPr="009B2AE8">
          <w:rPr>
            <w:sz w:val="22"/>
            <w:szCs w:val="22"/>
          </w:rPr>
        </w:r>
        <w:r w:rsidR="008F1A09" w:rsidRPr="009B2AE8">
          <w:rPr>
            <w:sz w:val="22"/>
            <w:szCs w:val="22"/>
          </w:rPr>
          <w:fldChar w:fldCharType="separate"/>
        </w:r>
        <w:r w:rsidR="00D62F01">
          <w:rPr>
            <w:sz w:val="22"/>
            <w:szCs w:val="22"/>
          </w:rPr>
          <w:t>6.7</w:t>
        </w:r>
        <w:r w:rsidR="008F1A09" w:rsidRPr="009B2AE8">
          <w:rPr>
            <w:sz w:val="22"/>
            <w:szCs w:val="22"/>
          </w:rPr>
          <w:fldChar w:fldCharType="end"/>
        </w:r>
        <w:r w:rsidR="008F1A09" w:rsidRPr="009B2AE8">
          <w:rPr>
            <w:sz w:val="22"/>
            <w:szCs w:val="22"/>
          </w:rPr>
          <w:t xml:space="preserve">. </w:t>
        </w:r>
      </w:hyperlink>
      <w:r w:rsidRPr="009B2AE8">
        <w:rPr>
          <w:sz w:val="22"/>
          <w:szCs w:val="22"/>
        </w:rPr>
        <w:t>Smlouvy</w:t>
      </w:r>
      <w:r>
        <w:rPr>
          <w:sz w:val="22"/>
          <w:szCs w:val="22"/>
        </w:rPr>
        <w:t>)</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w:t>
      </w:r>
      <w:r w:rsidRPr="00EF09CA">
        <w:rPr>
          <w:sz w:val="22"/>
          <w:szCs w:val="22"/>
        </w:rPr>
        <w:lastRenderedPageBreak/>
        <w:t>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F5F8ED"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6F55E0">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540F6118"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E96B1E" w:rsidRPr="0038024A">
        <w:rPr>
          <w:sz w:val="22"/>
          <w:szCs w:val="22"/>
        </w:rPr>
        <w:t>8.1.</w:t>
      </w:r>
      <w:r w:rsidRPr="00E00D51">
        <w:rPr>
          <w:sz w:val="22"/>
          <w:szCs w:val="22"/>
        </w:rPr>
        <w:t xml:space="preserve">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21968E23"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sidR="00D15722">
        <w:rPr>
          <w:sz w:val="22"/>
          <w:szCs w:val="22"/>
        </w:rPr>
        <w:t>;</w:t>
      </w:r>
    </w:p>
    <w:p w14:paraId="6E0B7E3D" w14:textId="77777777" w:rsidR="006F58DA" w:rsidRPr="00E00D51" w:rsidRDefault="006F58DA" w:rsidP="006F58DA">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77777777"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zákona o 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lastRenderedPageBreak/>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21586527"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D62F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1730584D" w:rsidR="004B4A01" w:rsidRDefault="004B4A01" w:rsidP="004B4A01">
      <w:pPr>
        <w:pStyle w:val="Textodst1sl"/>
        <w:numPr>
          <w:ilvl w:val="0"/>
          <w:numId w:val="0"/>
        </w:numPr>
        <w:ind w:left="709"/>
        <w:rPr>
          <w:sz w:val="22"/>
          <w:szCs w:val="22"/>
        </w:rPr>
      </w:pPr>
      <w:r>
        <w:rPr>
          <w:sz w:val="22"/>
          <w:szCs w:val="22"/>
        </w:rPr>
        <w:tab/>
      </w:r>
      <w:r w:rsidR="00432A9D">
        <w:rPr>
          <w:sz w:val="22"/>
          <w:szCs w:val="22"/>
        </w:rPr>
        <w:tab/>
      </w:r>
      <w:r>
        <w:rPr>
          <w:sz w:val="22"/>
          <w:szCs w:val="22"/>
        </w:rPr>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6B75B661" w14:textId="1C12B1C5" w:rsidR="004B4A01" w:rsidRDefault="004B4A01" w:rsidP="004B4A01">
      <w:pPr>
        <w:pStyle w:val="Textodst1sl"/>
        <w:numPr>
          <w:ilvl w:val="0"/>
          <w:numId w:val="0"/>
        </w:numPr>
        <w:ind w:left="709"/>
        <w:rPr>
          <w:sz w:val="22"/>
          <w:szCs w:val="22"/>
        </w:rPr>
      </w:pPr>
      <w:r w:rsidRPr="00D808C6">
        <w:rPr>
          <w:sz w:val="22"/>
          <w:szCs w:val="22"/>
        </w:rPr>
        <w:tab/>
      </w:r>
      <w:r>
        <w:rPr>
          <w:sz w:val="22"/>
          <w:szCs w:val="22"/>
        </w:rPr>
        <w:tab/>
      </w: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74A82A5F" w14:textId="517326B5" w:rsidR="004B4A01" w:rsidRDefault="004B4A01" w:rsidP="00BC7470">
      <w:pPr>
        <w:pStyle w:val="Textodst3psmena"/>
        <w:numPr>
          <w:ilvl w:val="0"/>
          <w:numId w:val="0"/>
        </w:numPr>
        <w:spacing w:line="360" w:lineRule="auto"/>
        <w:ind w:left="1418" w:hanging="283"/>
        <w:rPr>
          <w:sz w:val="22"/>
          <w:szCs w:val="22"/>
        </w:rPr>
      </w:pPr>
      <w:r>
        <w:rPr>
          <w:sz w:val="22"/>
          <w:szCs w:val="22"/>
        </w:rPr>
        <w:tab/>
      </w:r>
      <w:r>
        <w:rPr>
          <w:sz w:val="22"/>
          <w:szCs w:val="22"/>
        </w:rPr>
        <w:tab/>
      </w:r>
      <w:r w:rsidR="00BC7470">
        <w:rPr>
          <w:sz w:val="22"/>
          <w:szCs w:val="22"/>
        </w:rPr>
        <w:br/>
      </w:r>
      <w:r w:rsidRPr="00021B65">
        <w:rPr>
          <w:sz w:val="22"/>
          <w:szCs w:val="22"/>
        </w:rPr>
        <w:t xml:space="preserve">ve věcech technických: </w:t>
      </w:r>
    </w:p>
    <w:p w14:paraId="51B6E942" w14:textId="043C0AF7" w:rsidR="005E25E3" w:rsidRDefault="00BC6D0E" w:rsidP="005B7F82">
      <w:pPr>
        <w:pStyle w:val="Textodst1sl"/>
        <w:numPr>
          <w:ilvl w:val="0"/>
          <w:numId w:val="0"/>
        </w:numPr>
        <w:ind w:left="2124"/>
        <w:rPr>
          <w:sz w:val="22"/>
          <w:szCs w:val="22"/>
        </w:rPr>
      </w:pPr>
      <w:r>
        <w:rPr>
          <w:sz w:val="22"/>
          <w:szCs w:val="22"/>
        </w:rPr>
        <w:t xml:space="preserve">Miroslav </w:t>
      </w:r>
      <w:r w:rsidR="008A37CE">
        <w:rPr>
          <w:sz w:val="22"/>
          <w:szCs w:val="22"/>
        </w:rPr>
        <w:t>Týnek</w:t>
      </w:r>
      <w:r w:rsidR="005E25E3" w:rsidRPr="0086674F">
        <w:rPr>
          <w:sz w:val="22"/>
          <w:szCs w:val="22"/>
        </w:rPr>
        <w:t xml:space="preserve">, provozní manažer úseku mosty </w:t>
      </w:r>
      <w:r w:rsidR="00360038">
        <w:rPr>
          <w:sz w:val="22"/>
          <w:szCs w:val="22"/>
        </w:rPr>
        <w:t>MH</w:t>
      </w:r>
      <w:r w:rsidR="005E25E3" w:rsidRPr="0086674F">
        <w:rPr>
          <w:sz w:val="22"/>
          <w:szCs w:val="22"/>
        </w:rPr>
        <w:t xml:space="preserve">, </w:t>
      </w:r>
      <w:hyperlink r:id="rId15" w:history="1">
        <w:r w:rsidR="00F50648" w:rsidRPr="001E1EEB">
          <w:rPr>
            <w:rStyle w:val="Hypertextovodkaz"/>
            <w:sz w:val="22"/>
            <w:szCs w:val="22"/>
          </w:rPr>
          <w:t>miroslav.tynek@ksus.cz</w:t>
        </w:r>
      </w:hyperlink>
      <w:r w:rsidR="005E25E3" w:rsidRPr="0086674F">
        <w:rPr>
          <w:sz w:val="22"/>
          <w:szCs w:val="22"/>
        </w:rPr>
        <w:t xml:space="preserve">, </w:t>
      </w:r>
      <w:r w:rsidR="00777E9D">
        <w:rPr>
          <w:sz w:val="22"/>
          <w:szCs w:val="22"/>
        </w:rPr>
        <w:t xml:space="preserve">tel.: </w:t>
      </w:r>
      <w:r w:rsidR="00F50648">
        <w:rPr>
          <w:sz w:val="22"/>
          <w:szCs w:val="22"/>
        </w:rPr>
        <w:t>736 623 728</w:t>
      </w:r>
    </w:p>
    <w:p w14:paraId="711F791B" w14:textId="7D996D78" w:rsidR="005E25E3" w:rsidRDefault="005E25E3" w:rsidP="00777E9D">
      <w:pPr>
        <w:pStyle w:val="Textodst1sl"/>
        <w:numPr>
          <w:ilvl w:val="0"/>
          <w:numId w:val="0"/>
        </w:numPr>
        <w:ind w:left="709"/>
        <w:rPr>
          <w:sz w:val="22"/>
          <w:szCs w:val="22"/>
        </w:rPr>
      </w:pPr>
      <w:r>
        <w:rPr>
          <w:sz w:val="22"/>
          <w:szCs w:val="22"/>
        </w:rPr>
        <w:tab/>
      </w:r>
      <w:r>
        <w:rPr>
          <w:sz w:val="22"/>
          <w:szCs w:val="22"/>
        </w:rPr>
        <w:tab/>
      </w:r>
      <w:r w:rsidRPr="0086674F">
        <w:rPr>
          <w:sz w:val="22"/>
          <w:szCs w:val="22"/>
        </w:rPr>
        <w:t xml:space="preserve">Ing. Miroslav Dostál, vedoucí úseku mosty, </w:t>
      </w:r>
      <w:hyperlink r:id="rId16" w:history="1">
        <w:r w:rsidR="00777E9D" w:rsidRPr="00D26E07">
          <w:rPr>
            <w:rStyle w:val="Hypertextovodkaz"/>
            <w:sz w:val="22"/>
            <w:szCs w:val="22"/>
          </w:rPr>
          <w:t>miroslav.dostal@ksus.cz</w:t>
        </w:r>
      </w:hyperlink>
      <w:r w:rsidRPr="0086674F">
        <w:rPr>
          <w:sz w:val="22"/>
          <w:szCs w:val="22"/>
        </w:rPr>
        <w:t xml:space="preserve">, </w:t>
      </w:r>
      <w:r w:rsidR="00777E9D">
        <w:rPr>
          <w:sz w:val="22"/>
          <w:szCs w:val="22"/>
        </w:rPr>
        <w:t xml:space="preserve">tel.: </w:t>
      </w:r>
      <w:r w:rsidRPr="0086674F">
        <w:rPr>
          <w:sz w:val="22"/>
          <w:szCs w:val="22"/>
        </w:rPr>
        <w:t>778532514</w:t>
      </w:r>
    </w:p>
    <w:p w14:paraId="22580958" w14:textId="77777777" w:rsidR="005E25E3" w:rsidRDefault="005E25E3" w:rsidP="004B4A01">
      <w:pPr>
        <w:pStyle w:val="Textodst1sl"/>
        <w:numPr>
          <w:ilvl w:val="0"/>
          <w:numId w:val="0"/>
        </w:numPr>
        <w:ind w:left="1430"/>
        <w:rPr>
          <w:sz w:val="22"/>
          <w:szCs w:val="22"/>
        </w:rPr>
      </w:pPr>
    </w:p>
    <w:p w14:paraId="65C781A9" w14:textId="6F90D569"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63E6D229" w:rsidR="004B4A01" w:rsidRDefault="004B4A01" w:rsidP="004B4A01">
      <w:pPr>
        <w:pStyle w:val="Textodst1sl"/>
        <w:numPr>
          <w:ilvl w:val="0"/>
          <w:numId w:val="0"/>
        </w:numPr>
        <w:ind w:left="1430"/>
        <w:rPr>
          <w:rStyle w:val="Hypertextovodkaz"/>
          <w:sz w:val="22"/>
          <w:szCs w:val="22"/>
        </w:rPr>
      </w:pPr>
      <w:r>
        <w:tab/>
      </w:r>
    </w:p>
    <w:p w14:paraId="2194EC81" w14:textId="0645A9AB" w:rsidR="00795051" w:rsidRDefault="00BC7470" w:rsidP="00BC7470">
      <w:pPr>
        <w:pStyle w:val="Textodst1sl"/>
        <w:numPr>
          <w:ilvl w:val="0"/>
          <w:numId w:val="0"/>
        </w:numPr>
        <w:ind w:left="1430"/>
        <w:rPr>
          <w:sz w:val="22"/>
          <w:szCs w:val="22"/>
        </w:rPr>
      </w:pPr>
      <w:r>
        <w:rPr>
          <w:sz w:val="22"/>
          <w:szCs w:val="22"/>
        </w:rPr>
        <w:t xml:space="preserve">Kontaktní údaje jsou uvedeny na stránce </w:t>
      </w:r>
      <w:hyperlink r:id="rId17" w:history="1">
        <w:r w:rsidRPr="00BA65A2">
          <w:rPr>
            <w:rStyle w:val="Hypertextovodkaz"/>
            <w:sz w:val="22"/>
            <w:szCs w:val="22"/>
          </w:rPr>
          <w:t>https://www.ksus.cz/kontakty/reditelstvi</w:t>
        </w:r>
      </w:hyperlink>
    </w:p>
    <w:p w14:paraId="5B5B79F9" w14:textId="77777777" w:rsidR="00BC7470" w:rsidRPr="00D808C6" w:rsidRDefault="00BC7470"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7F9D4455" w14:textId="0FD57D5F" w:rsidR="00AA6511" w:rsidRPr="00FA764D" w:rsidRDefault="00401C54" w:rsidP="00BC7470">
      <w:pPr>
        <w:pStyle w:val="Textodst1sl"/>
        <w:numPr>
          <w:ilvl w:val="0"/>
          <w:numId w:val="0"/>
        </w:numPr>
        <w:ind w:left="709"/>
        <w:rPr>
          <w:sz w:val="22"/>
          <w:szCs w:val="22"/>
        </w:rPr>
      </w:pPr>
      <w:r w:rsidRPr="00D808C6">
        <w:rPr>
          <w:sz w:val="22"/>
          <w:szCs w:val="22"/>
        </w:rPr>
        <w:tab/>
      </w: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4A824B9D" w:rsidR="00AA6511" w:rsidRDefault="00401C54" w:rsidP="00EA6C99">
      <w:pPr>
        <w:pStyle w:val="Textodst3psmena"/>
        <w:numPr>
          <w:ilvl w:val="0"/>
          <w:numId w:val="0"/>
        </w:numPr>
        <w:spacing w:line="276" w:lineRule="auto"/>
        <w:ind w:left="1418" w:hanging="283"/>
        <w:rPr>
          <w:sz w:val="22"/>
          <w:szCs w:val="22"/>
        </w:rPr>
      </w:pPr>
      <w:r>
        <w:rPr>
          <w:sz w:val="22"/>
          <w:szCs w:val="22"/>
        </w:rPr>
        <w:tab/>
      </w:r>
    </w:p>
    <w:p w14:paraId="16998A98" w14:textId="19A7B974" w:rsidR="00BC7470" w:rsidRDefault="00BC7470" w:rsidP="00BC7470">
      <w:pPr>
        <w:pStyle w:val="Textodst1sl"/>
        <w:numPr>
          <w:ilvl w:val="0"/>
          <w:numId w:val="0"/>
        </w:numPr>
        <w:ind w:left="1430"/>
        <w:rPr>
          <w:sz w:val="22"/>
          <w:szCs w:val="22"/>
        </w:rPr>
      </w:pPr>
      <w:r>
        <w:rPr>
          <w:sz w:val="22"/>
          <w:szCs w:val="22"/>
        </w:rPr>
        <w:t xml:space="preserve">Kontaktní údaje jsou uvedeny na stránce </w:t>
      </w:r>
      <w:hyperlink r:id="rId18" w:history="1">
        <w:r w:rsidRPr="00BA65A2">
          <w:rPr>
            <w:rStyle w:val="Hypertextovodkaz"/>
            <w:sz w:val="22"/>
            <w:szCs w:val="22"/>
          </w:rPr>
          <w:t>https://www.ksus.cz/kontakty/reditelstvi</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2" w:name="_Ref124495693"/>
      <w:r w:rsidRPr="0095487A">
        <w:rPr>
          <w:sz w:val="22"/>
          <w:szCs w:val="22"/>
        </w:rPr>
        <w:t>Oprávněni k jednáním ve věcech realizace této Smlouvy jsou za Zhotovitele:</w:t>
      </w:r>
      <w:bookmarkEnd w:id="12"/>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70240B24" w:rsidR="00110945" w:rsidRPr="0095487A" w:rsidRDefault="00401C54" w:rsidP="00110945">
      <w:pPr>
        <w:pStyle w:val="Textodst1sl"/>
        <w:numPr>
          <w:ilvl w:val="0"/>
          <w:numId w:val="0"/>
        </w:numPr>
        <w:ind w:left="1430"/>
        <w:rPr>
          <w:sz w:val="22"/>
          <w:szCs w:val="22"/>
        </w:rPr>
      </w:pPr>
      <w:r w:rsidRPr="00EA6C99">
        <w:rPr>
          <w:sz w:val="22"/>
          <w:szCs w:val="22"/>
        </w:rPr>
        <w:lastRenderedPageBreak/>
        <w:t>jméno:</w:t>
      </w:r>
      <w:r w:rsidRPr="00EA6C99">
        <w:rPr>
          <w:sz w:val="22"/>
          <w:szCs w:val="22"/>
        </w:rPr>
        <w:tab/>
      </w:r>
      <w:r w:rsidRPr="00EA6C99">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06138B59" w14:textId="048CC565"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6D57C72" w14:textId="0F4AE10C"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1D2EC57B" w14:textId="42716A0A" w:rsidR="00694F1E" w:rsidRPr="0095487A" w:rsidRDefault="00694F1E" w:rsidP="00694F1E">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65AC764" w14:textId="0C862662" w:rsidR="00694F1E" w:rsidRPr="0095487A" w:rsidRDefault="00694F1E" w:rsidP="00694F1E">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03A01AA7" w14:textId="3EAEF715" w:rsidR="00694F1E" w:rsidRPr="0095487A" w:rsidRDefault="00694F1E" w:rsidP="00694F1E">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7E356BBC"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34C8114" w14:textId="7136EE8F"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900BB0D" w14:textId="156F2D20"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0453546C"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3"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w:t>
      </w:r>
      <w:r w:rsidRPr="00295D00">
        <w:rPr>
          <w:sz w:val="22"/>
        </w:rPr>
        <w:lastRenderedPageBreak/>
        <w:t>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3"/>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F236084" w:rsidR="00295D00" w:rsidRDefault="007273E1" w:rsidP="00295D00">
      <w:pPr>
        <w:pStyle w:val="Textodst1sl"/>
        <w:numPr>
          <w:ilvl w:val="0"/>
          <w:numId w:val="0"/>
        </w:numPr>
        <w:ind w:left="1430"/>
        <w:rPr>
          <w:sz w:val="22"/>
          <w:szCs w:val="22"/>
        </w:rPr>
      </w:pPr>
      <w:r w:rsidRPr="0079757C">
        <w:rPr>
          <w:sz w:val="22"/>
          <w:szCs w:val="22"/>
        </w:rPr>
        <w:t xml:space="preserve">Příloha č. </w:t>
      </w:r>
      <w:r w:rsidR="00BA584D">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319197E4"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02A102B5"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D3EF886"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BA584D">
        <w:rPr>
          <w:sz w:val="22"/>
          <w:szCs w:val="22"/>
        </w:rPr>
        <w:t>5</w:t>
      </w:r>
      <w:r w:rsidRPr="00E00D51">
        <w:rPr>
          <w:sz w:val="22"/>
          <w:szCs w:val="22"/>
        </w:rPr>
        <w:t xml:space="preserve"> – </w:t>
      </w:r>
      <w:r w:rsidR="00295D00" w:rsidRPr="00E00D51">
        <w:rPr>
          <w:sz w:val="22"/>
          <w:szCs w:val="22"/>
        </w:rPr>
        <w:tab/>
      </w:r>
      <w:r w:rsidR="00337D7D">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5E580CC7" w:rsidR="003C6092" w:rsidRPr="00F04838" w:rsidRDefault="00694F1E" w:rsidP="009B6FC2">
            <w:pPr>
              <w:keepNext/>
              <w:spacing w:before="80"/>
              <w:rPr>
                <w:sz w:val="22"/>
                <w:szCs w:val="22"/>
              </w:rPr>
            </w:pP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tc>
      </w:tr>
    </w:tbl>
    <w:p w14:paraId="4883E073" w14:textId="77777777" w:rsidR="00B34123" w:rsidRDefault="00B34123" w:rsidP="00694123">
      <w:pPr>
        <w:pStyle w:val="Textodst1sl"/>
        <w:numPr>
          <w:ilvl w:val="0"/>
          <w:numId w:val="0"/>
        </w:numPr>
        <w:rPr>
          <w:sz w:val="22"/>
          <w:szCs w:val="22"/>
        </w:rPr>
        <w:sectPr w:rsidR="00B34123" w:rsidSect="00975433">
          <w:headerReference w:type="first" r:id="rId19"/>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5EE510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BA584D">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2583130E" w14:textId="77777777" w:rsidR="00122C95" w:rsidRDefault="002C4EE1" w:rsidP="00122C95">
      <w:pPr>
        <w:tabs>
          <w:tab w:val="clear" w:pos="0"/>
          <w:tab w:val="clear" w:pos="284"/>
          <w:tab w:val="clear" w:pos="1701"/>
        </w:tabs>
        <w:jc w:val="left"/>
        <w:rPr>
          <w:sz w:val="22"/>
          <w:szCs w:val="22"/>
        </w:rPr>
        <w:sectPr w:rsidR="00122C95" w:rsidSect="00975433">
          <w:footerReference w:type="default" r:id="rId20"/>
          <w:headerReference w:type="first" r:id="rId21"/>
          <w:pgSz w:w="11906" w:h="16838"/>
          <w:pgMar w:top="1417" w:right="1417" w:bottom="1417" w:left="1417" w:header="708" w:footer="708" w:gutter="0"/>
          <w:cols w:space="708"/>
          <w:titlePg/>
          <w:docGrid w:linePitch="360"/>
        </w:sectPr>
      </w:pPr>
      <w:r>
        <w:rPr>
          <w:sz w:val="22"/>
          <w:szCs w:val="22"/>
        </w:rPr>
        <w:br w:type="page"/>
      </w:r>
    </w:p>
    <w:p w14:paraId="0402296E" w14:textId="1F6C5591" w:rsidR="00122C95" w:rsidRDefault="00122C95" w:rsidP="00122C95">
      <w:pPr>
        <w:tabs>
          <w:tab w:val="clear" w:pos="0"/>
          <w:tab w:val="clear" w:pos="284"/>
          <w:tab w:val="clear" w:pos="1701"/>
        </w:tabs>
        <w:jc w:val="left"/>
        <w:rPr>
          <w:sz w:val="22"/>
          <w:szCs w:val="22"/>
        </w:rPr>
      </w:pPr>
    </w:p>
    <w:p w14:paraId="5C4ABB10" w14:textId="7A254CD9" w:rsidR="00B34123" w:rsidRDefault="00B34123" w:rsidP="00B34123">
      <w:pPr>
        <w:pStyle w:val="Textodst1sl"/>
        <w:numPr>
          <w:ilvl w:val="0"/>
          <w:numId w:val="0"/>
        </w:numPr>
        <w:rPr>
          <w:highlight w:val="green"/>
        </w:rPr>
      </w:pPr>
      <w:r w:rsidRPr="008E372C">
        <w:rPr>
          <w:sz w:val="22"/>
          <w:szCs w:val="22"/>
        </w:rPr>
        <w:t xml:space="preserve">Příloha č. </w:t>
      </w:r>
      <w:r w:rsidR="00BA584D">
        <w:rPr>
          <w:sz w:val="22"/>
          <w:szCs w:val="22"/>
        </w:rPr>
        <w:t>3</w:t>
      </w:r>
      <w:r w:rsidRPr="008E372C">
        <w:rPr>
          <w:sz w:val="22"/>
          <w:szCs w:val="22"/>
        </w:rPr>
        <w:t xml:space="preserve"> – Časový plán výstavby – časový harmonogram</w:t>
      </w:r>
    </w:p>
    <w:p w14:paraId="39F73DA3" w14:textId="77777777" w:rsidR="00B34123" w:rsidRDefault="00B34123" w:rsidP="00B34123">
      <w:pPr>
        <w:pStyle w:val="Textodst1sl"/>
        <w:numPr>
          <w:ilvl w:val="0"/>
          <w:numId w:val="0"/>
        </w:numPr>
        <w:rPr>
          <w:highlight w:val="green"/>
        </w:rPr>
      </w:pPr>
    </w:p>
    <w:p w14:paraId="35E17E1B" w14:textId="77777777" w:rsidR="00122C95" w:rsidRDefault="00122C95">
      <w:pPr>
        <w:tabs>
          <w:tab w:val="clear" w:pos="0"/>
          <w:tab w:val="clear" w:pos="284"/>
          <w:tab w:val="clear" w:pos="1701"/>
        </w:tabs>
        <w:jc w:val="left"/>
        <w:rPr>
          <w:sz w:val="22"/>
          <w:szCs w:val="22"/>
        </w:rPr>
      </w:pPr>
      <w:r>
        <w:rPr>
          <w:sz w:val="22"/>
          <w:szCs w:val="22"/>
        </w:rPr>
        <w:br w:type="page"/>
      </w:r>
    </w:p>
    <w:p w14:paraId="3731C6E7" w14:textId="0AE60885" w:rsidR="00B34123" w:rsidRPr="00FE7FF0" w:rsidRDefault="00B34123" w:rsidP="00B34123">
      <w:pPr>
        <w:pStyle w:val="Textodst1sl"/>
        <w:numPr>
          <w:ilvl w:val="0"/>
          <w:numId w:val="0"/>
        </w:numPr>
        <w:rPr>
          <w:sz w:val="22"/>
          <w:szCs w:val="22"/>
        </w:rPr>
      </w:pPr>
      <w:r w:rsidRPr="00FE7FF0">
        <w:rPr>
          <w:sz w:val="22"/>
          <w:szCs w:val="22"/>
        </w:rPr>
        <w:lastRenderedPageBreak/>
        <w:t xml:space="preserve">Příloha č. </w:t>
      </w:r>
      <w:r w:rsidR="00BA584D" w:rsidRPr="00FE7FF0">
        <w:rPr>
          <w:sz w:val="22"/>
          <w:szCs w:val="22"/>
        </w:rPr>
        <w:t>4</w:t>
      </w:r>
      <w:r w:rsidRPr="00FE7FF0">
        <w:rPr>
          <w:sz w:val="22"/>
          <w:szCs w:val="22"/>
        </w:rPr>
        <w:t xml:space="preserve"> – Seznam poddodavatelů</w:t>
      </w:r>
    </w:p>
    <w:p w14:paraId="0BA852E1" w14:textId="77777777" w:rsidR="00B34123" w:rsidRPr="00FE7FF0" w:rsidRDefault="00B34123" w:rsidP="00B34123">
      <w:pPr>
        <w:pStyle w:val="Textodst1sl"/>
        <w:numPr>
          <w:ilvl w:val="0"/>
          <w:numId w:val="0"/>
        </w:numPr>
        <w:rPr>
          <w:b/>
          <w:snapToGrid w:val="0"/>
          <w:sz w:val="22"/>
          <w:szCs w:val="22"/>
          <w:lang w:eastAsia="en-US"/>
        </w:rPr>
      </w:pPr>
    </w:p>
    <w:p w14:paraId="538035BD" w14:textId="77777777" w:rsidR="00B34123" w:rsidRPr="00FE7FF0" w:rsidRDefault="00B34123" w:rsidP="00B34123">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89A6FBE" w14:textId="77777777" w:rsidR="00B34123" w:rsidRPr="00FE7FF0" w:rsidRDefault="00B34123" w:rsidP="00B34123">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92F1249" w14:textId="77777777" w:rsidR="005440C1" w:rsidRPr="00FE7FF0" w:rsidRDefault="005440C1" w:rsidP="005440C1">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6F4F7144" w14:textId="77777777" w:rsidR="00B34123" w:rsidRPr="00FE7FF0" w:rsidRDefault="00B34123" w:rsidP="00B34123">
      <w:pPr>
        <w:pStyle w:val="Zkladntextodsazen3"/>
        <w:ind w:left="0"/>
        <w:rPr>
          <w:sz w:val="22"/>
          <w:szCs w:val="22"/>
        </w:rPr>
      </w:pPr>
      <w:r w:rsidRPr="00FE7FF0">
        <w:rPr>
          <w:sz w:val="22"/>
          <w:szCs w:val="22"/>
          <w:highlight w:val="cyan"/>
        </w:rPr>
        <w:t>1. MOŽNOST</w:t>
      </w:r>
    </w:p>
    <w:p w14:paraId="55B92BC6" w14:textId="77777777" w:rsidR="00B34123" w:rsidRPr="00FE7FF0" w:rsidRDefault="00B34123" w:rsidP="00B34123">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6085365C" w14:textId="77777777" w:rsidR="00B34123" w:rsidRPr="00FE7FF0" w:rsidRDefault="00B34123" w:rsidP="00B34123">
      <w:pPr>
        <w:pStyle w:val="Zkladntextodsazen3"/>
        <w:ind w:left="0"/>
        <w:rPr>
          <w:sz w:val="22"/>
          <w:szCs w:val="22"/>
        </w:rPr>
      </w:pPr>
      <w:r w:rsidRPr="00FE7FF0">
        <w:rPr>
          <w:sz w:val="22"/>
          <w:szCs w:val="22"/>
          <w:highlight w:val="cyan"/>
        </w:rPr>
        <w:t>2. MOŽNOST</w:t>
      </w:r>
    </w:p>
    <w:p w14:paraId="718349F3" w14:textId="6177D594" w:rsidR="00B34123" w:rsidRPr="00FE7FF0" w:rsidRDefault="00B34123" w:rsidP="00B34123">
      <w:pPr>
        <w:pStyle w:val="Zkladntextodsazen3"/>
        <w:ind w:left="0"/>
        <w:rPr>
          <w:sz w:val="22"/>
          <w:szCs w:val="22"/>
        </w:rPr>
      </w:pPr>
      <w:r w:rsidRPr="00FE7FF0">
        <w:rPr>
          <w:sz w:val="22"/>
          <w:szCs w:val="22"/>
        </w:rPr>
        <w:t>Máme v úmyslu zadat část veřejné zakázky těmto poddodavatelům:</w:t>
      </w:r>
    </w:p>
    <w:p w14:paraId="307EC8B1" w14:textId="4A6B7D14" w:rsidR="00122C95" w:rsidRDefault="00B353BB" w:rsidP="00122C95">
      <w:pPr>
        <w:tabs>
          <w:tab w:val="clear" w:pos="0"/>
          <w:tab w:val="clear" w:pos="284"/>
          <w:tab w:val="clear" w:pos="1701"/>
        </w:tabs>
        <w:jc w:val="left"/>
        <w:rPr>
          <w:sz w:val="22"/>
          <w:szCs w:val="22"/>
        </w:rPr>
        <w:sectPr w:rsidR="00122C95" w:rsidSect="00122C95">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52394A43" wp14:editId="77D53BFE">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sidR="00FE7FF0">
        <w:rPr>
          <w:sz w:val="22"/>
          <w:szCs w:val="22"/>
        </w:rPr>
        <w:br w:type="page"/>
      </w:r>
    </w:p>
    <w:p w14:paraId="4106823B" w14:textId="1484C81E"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BA584D">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Krajská správa a údržba silnic Středočeského kraje p.o.</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r w:rsidRPr="00A06E12">
              <w:rPr>
                <w:sz w:val="20"/>
                <w:szCs w:val="24"/>
              </w:rPr>
              <w:t>Zodp.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9754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5FBB" w14:textId="77777777" w:rsidR="00D60741" w:rsidRDefault="00D60741" w:rsidP="003C6092">
      <w:r>
        <w:separator/>
      </w:r>
    </w:p>
  </w:endnote>
  <w:endnote w:type="continuationSeparator" w:id="0">
    <w:p w14:paraId="5B2D1CD4" w14:textId="77777777" w:rsidR="00D60741" w:rsidRDefault="00D60741"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A35F9" w:rsidRDefault="006A3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63C1" w14:textId="77777777" w:rsidR="00D60741" w:rsidRDefault="00D60741" w:rsidP="003C6092">
      <w:r>
        <w:separator/>
      </w:r>
    </w:p>
  </w:footnote>
  <w:footnote w:type="continuationSeparator" w:id="0">
    <w:p w14:paraId="7E3B96B3" w14:textId="77777777" w:rsidR="00D60741" w:rsidRDefault="00D60741" w:rsidP="003C6092">
      <w:r>
        <w:continuationSeparator/>
      </w:r>
    </w:p>
  </w:footnote>
  <w:footnote w:id="1">
    <w:p w14:paraId="0A830EFA" w14:textId="35B7FE56" w:rsidR="00287F62" w:rsidRDefault="00287F62" w:rsidP="00287F62">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A96644">
        <w:t xml:space="preserve"> </w:t>
      </w:r>
      <w:hyperlink r:id="rId1" w:history="1">
        <w:r w:rsidRPr="00CF4D5D">
          <w:rPr>
            <w:rStyle w:val="Hypertextovodkaz"/>
          </w:rPr>
          <w:t>https://zakazky.kr-stredocesky.cz/document_download_155981.html</w:t>
        </w:r>
      </w:hyperlink>
      <w:r>
        <w:t xml:space="preserve"> včetně příloh:</w:t>
      </w:r>
      <w:r w:rsidRPr="00325BDD">
        <w:t xml:space="preserve"> </w:t>
      </w:r>
      <w:hyperlink r:id="rId2" w:history="1">
        <w:r w:rsidRPr="00CF4D5D">
          <w:rPr>
            <w:rStyle w:val="Hypertextovodkaz"/>
          </w:rPr>
          <w:t>https://zakazky.kr-stredocesky.cz/document_download_155982.html</w:t>
        </w:r>
      </w:hyperlink>
    </w:p>
    <w:p w14:paraId="60E23ECC" w14:textId="77777777" w:rsidR="00287F62" w:rsidRDefault="00287F62" w:rsidP="00287F62">
      <w:pPr>
        <w:pStyle w:val="Textpoznpodarou"/>
      </w:pPr>
    </w:p>
  </w:footnote>
  <w:footnote w:id="2">
    <w:p w14:paraId="6CB3834B" w14:textId="496605F8" w:rsidR="006B4E81" w:rsidRDefault="00F760EF" w:rsidP="006B4E81">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6B4E81" w:rsidRPr="00693DB7">
          <w:rPr>
            <w:rStyle w:val="Hypertextovodkaz"/>
          </w:rPr>
          <w:t>https://zakazky.kr-stredocesky.cz/document_download_163435.html</w:t>
        </w:r>
      </w:hyperlink>
    </w:p>
    <w:p w14:paraId="3DC0B581" w14:textId="14933DC7" w:rsidR="006B4E81" w:rsidRDefault="006B4E81" w:rsidP="006B4E81">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7092B44" w14:textId="24FFE703" w:rsidR="00F760EF" w:rsidRDefault="00F760EF" w:rsidP="00F760EF">
      <w:pPr>
        <w:pStyle w:val="Textpoznpodarou"/>
      </w:pPr>
    </w:p>
  </w:footnote>
  <w:footnote w:id="3">
    <w:p w14:paraId="70DCBAB7" w14:textId="77777777" w:rsidR="00C6543A" w:rsidRPr="00942218" w:rsidRDefault="00C6543A" w:rsidP="00C6543A">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5EF3F218" w14:textId="77777777" w:rsidR="00C6543A" w:rsidRDefault="00C6543A" w:rsidP="00C6543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8629015" w:rsidR="006A35F9" w:rsidRDefault="006A35F9" w:rsidP="000E613E">
    <w:pPr>
      <w:pStyle w:val="Zhlav"/>
      <w:jc w:val="center"/>
    </w:pPr>
    <w:r>
      <w:rPr>
        <w:noProof/>
      </w:rPr>
      <w:drawing>
        <wp:inline distT="0" distB="0" distL="0" distR="0" wp14:anchorId="7BB757A8" wp14:editId="43AABFC4">
          <wp:extent cx="1552575" cy="609600"/>
          <wp:effectExtent l="0" t="0" r="0" b="0"/>
          <wp:docPr id="13" name="Obrázek 13"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A35F9" w:rsidRDefault="006A35F9"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8"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9"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0"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1"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2"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3"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4"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1885279">
    <w:abstractNumId w:val="15"/>
  </w:num>
  <w:num w:numId="2" w16cid:durableId="539972445">
    <w:abstractNumId w:val="34"/>
  </w:num>
  <w:num w:numId="3" w16cid:durableId="1975673154">
    <w:abstractNumId w:val="35"/>
  </w:num>
  <w:num w:numId="4" w16cid:durableId="570964668">
    <w:abstractNumId w:val="26"/>
  </w:num>
  <w:num w:numId="5" w16cid:durableId="1287930135">
    <w:abstractNumId w:val="6"/>
  </w:num>
  <w:num w:numId="6" w16cid:durableId="15858402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954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76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699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9401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466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78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2010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37129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6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30317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590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67423">
    <w:abstractNumId w:val="1"/>
  </w:num>
  <w:num w:numId="19" w16cid:durableId="132457905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3711692">
    <w:abstractNumId w:val="17"/>
  </w:num>
  <w:num w:numId="21" w16cid:durableId="2140537181">
    <w:abstractNumId w:val="25"/>
  </w:num>
  <w:num w:numId="22" w16cid:durableId="1100219927">
    <w:abstractNumId w:val="0"/>
  </w:num>
  <w:num w:numId="23" w16cid:durableId="520582431">
    <w:abstractNumId w:val="23"/>
  </w:num>
  <w:num w:numId="24" w16cid:durableId="2068065742">
    <w:abstractNumId w:val="2"/>
  </w:num>
  <w:num w:numId="25" w16cid:durableId="273905319">
    <w:abstractNumId w:val="7"/>
  </w:num>
  <w:num w:numId="26" w16cid:durableId="1565918247">
    <w:abstractNumId w:val="24"/>
  </w:num>
  <w:num w:numId="27" w16cid:durableId="86705181">
    <w:abstractNumId w:val="12"/>
  </w:num>
  <w:num w:numId="28" w16cid:durableId="585072221">
    <w:abstractNumId w:val="19"/>
  </w:num>
  <w:num w:numId="29" w16cid:durableId="1050686296">
    <w:abstractNumId w:val="28"/>
  </w:num>
  <w:num w:numId="30" w16cid:durableId="720254825">
    <w:abstractNumId w:val="14"/>
  </w:num>
  <w:num w:numId="31" w16cid:durableId="235946042">
    <w:abstractNumId w:val="3"/>
  </w:num>
  <w:num w:numId="32" w16cid:durableId="1018585275">
    <w:abstractNumId w:val="27"/>
  </w:num>
  <w:num w:numId="33" w16cid:durableId="436103161">
    <w:abstractNumId w:val="8"/>
  </w:num>
  <w:num w:numId="34" w16cid:durableId="511795666">
    <w:abstractNumId w:val="33"/>
  </w:num>
  <w:num w:numId="35" w16cid:durableId="77679542">
    <w:abstractNumId w:val="32"/>
  </w:num>
  <w:num w:numId="36" w16cid:durableId="1539393673">
    <w:abstractNumId w:val="21"/>
  </w:num>
  <w:num w:numId="37" w16cid:durableId="1856269001">
    <w:abstractNumId w:val="30"/>
  </w:num>
  <w:num w:numId="38" w16cid:durableId="532108554">
    <w:abstractNumId w:val="22"/>
  </w:num>
  <w:num w:numId="39" w16cid:durableId="219098779">
    <w:abstractNumId w:val="5"/>
  </w:num>
  <w:num w:numId="40" w16cid:durableId="1836920761">
    <w:abstractNumId w:val="29"/>
  </w:num>
  <w:num w:numId="41" w16cid:durableId="871501445">
    <w:abstractNumId w:val="31"/>
  </w:num>
  <w:num w:numId="42" w16cid:durableId="255790387">
    <w:abstractNumId w:val="4"/>
  </w:num>
  <w:num w:numId="43" w16cid:durableId="1505975280">
    <w:abstractNumId w:val="20"/>
  </w:num>
  <w:num w:numId="44" w16cid:durableId="1667049091">
    <w:abstractNumId w:val="16"/>
  </w:num>
  <w:num w:numId="45" w16cid:durableId="1324167740">
    <w:abstractNumId w:val="9"/>
  </w:num>
  <w:num w:numId="46" w16cid:durableId="372003173">
    <w:abstractNumId w:val="13"/>
  </w:num>
  <w:num w:numId="47" w16cid:durableId="1688405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60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876375">
    <w:abstractNumId w:val="10"/>
  </w:num>
  <w:num w:numId="50" w16cid:durableId="2021926109">
    <w:abstractNumId w:val="11"/>
  </w:num>
  <w:num w:numId="51" w16cid:durableId="1710062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710A"/>
    <w:rsid w:val="000102EC"/>
    <w:rsid w:val="0001198A"/>
    <w:rsid w:val="000221F6"/>
    <w:rsid w:val="000277F5"/>
    <w:rsid w:val="00033451"/>
    <w:rsid w:val="00033631"/>
    <w:rsid w:val="0003470F"/>
    <w:rsid w:val="00034B92"/>
    <w:rsid w:val="00034E0F"/>
    <w:rsid w:val="00044BF9"/>
    <w:rsid w:val="00044ECE"/>
    <w:rsid w:val="00046DDD"/>
    <w:rsid w:val="00047331"/>
    <w:rsid w:val="00047FE6"/>
    <w:rsid w:val="0005028C"/>
    <w:rsid w:val="00050484"/>
    <w:rsid w:val="00051731"/>
    <w:rsid w:val="00052430"/>
    <w:rsid w:val="000524A9"/>
    <w:rsid w:val="000642A0"/>
    <w:rsid w:val="00064FCE"/>
    <w:rsid w:val="00067AA2"/>
    <w:rsid w:val="00072700"/>
    <w:rsid w:val="000765C4"/>
    <w:rsid w:val="00076662"/>
    <w:rsid w:val="000774BF"/>
    <w:rsid w:val="000825B6"/>
    <w:rsid w:val="000832AB"/>
    <w:rsid w:val="000846F2"/>
    <w:rsid w:val="00090D3F"/>
    <w:rsid w:val="00091A41"/>
    <w:rsid w:val="00093015"/>
    <w:rsid w:val="000934BE"/>
    <w:rsid w:val="00093524"/>
    <w:rsid w:val="00095504"/>
    <w:rsid w:val="00096B7D"/>
    <w:rsid w:val="00096D02"/>
    <w:rsid w:val="00097B2F"/>
    <w:rsid w:val="000A5912"/>
    <w:rsid w:val="000A6B8B"/>
    <w:rsid w:val="000B2092"/>
    <w:rsid w:val="000B20C2"/>
    <w:rsid w:val="000B31B4"/>
    <w:rsid w:val="000B52FF"/>
    <w:rsid w:val="000B5633"/>
    <w:rsid w:val="000B5A55"/>
    <w:rsid w:val="000B6602"/>
    <w:rsid w:val="000B7C06"/>
    <w:rsid w:val="000C1F42"/>
    <w:rsid w:val="000C2CEE"/>
    <w:rsid w:val="000C31D7"/>
    <w:rsid w:val="000D420A"/>
    <w:rsid w:val="000D7C96"/>
    <w:rsid w:val="000E0ADF"/>
    <w:rsid w:val="000E193E"/>
    <w:rsid w:val="000E2C43"/>
    <w:rsid w:val="000E44A9"/>
    <w:rsid w:val="000E4F5B"/>
    <w:rsid w:val="000E5C6A"/>
    <w:rsid w:val="000E613E"/>
    <w:rsid w:val="000F2430"/>
    <w:rsid w:val="000F26C9"/>
    <w:rsid w:val="000F28A1"/>
    <w:rsid w:val="000F2E61"/>
    <w:rsid w:val="000F4A77"/>
    <w:rsid w:val="000F4D34"/>
    <w:rsid w:val="000F58CE"/>
    <w:rsid w:val="000F5B0D"/>
    <w:rsid w:val="000F68BD"/>
    <w:rsid w:val="001017A6"/>
    <w:rsid w:val="001020E7"/>
    <w:rsid w:val="00102B21"/>
    <w:rsid w:val="00105CF3"/>
    <w:rsid w:val="00110945"/>
    <w:rsid w:val="00111620"/>
    <w:rsid w:val="001148A1"/>
    <w:rsid w:val="00114929"/>
    <w:rsid w:val="00116391"/>
    <w:rsid w:val="001171D3"/>
    <w:rsid w:val="001208BC"/>
    <w:rsid w:val="00122C95"/>
    <w:rsid w:val="00126ED6"/>
    <w:rsid w:val="001337FC"/>
    <w:rsid w:val="0013654C"/>
    <w:rsid w:val="00136D93"/>
    <w:rsid w:val="001408CC"/>
    <w:rsid w:val="00140E9C"/>
    <w:rsid w:val="001416E6"/>
    <w:rsid w:val="00143585"/>
    <w:rsid w:val="00143CE7"/>
    <w:rsid w:val="00144EF4"/>
    <w:rsid w:val="0014516E"/>
    <w:rsid w:val="001451BC"/>
    <w:rsid w:val="0015060E"/>
    <w:rsid w:val="001528C2"/>
    <w:rsid w:val="001552DE"/>
    <w:rsid w:val="001563A9"/>
    <w:rsid w:val="00156B62"/>
    <w:rsid w:val="00165303"/>
    <w:rsid w:val="00167B08"/>
    <w:rsid w:val="00167E63"/>
    <w:rsid w:val="001719B0"/>
    <w:rsid w:val="00172AA8"/>
    <w:rsid w:val="0017431B"/>
    <w:rsid w:val="00174CD4"/>
    <w:rsid w:val="00175176"/>
    <w:rsid w:val="00175EE8"/>
    <w:rsid w:val="00184B79"/>
    <w:rsid w:val="00185AEC"/>
    <w:rsid w:val="0018662C"/>
    <w:rsid w:val="001926D9"/>
    <w:rsid w:val="00193827"/>
    <w:rsid w:val="0019745A"/>
    <w:rsid w:val="001A0BF7"/>
    <w:rsid w:val="001A0F70"/>
    <w:rsid w:val="001A25FA"/>
    <w:rsid w:val="001A39F6"/>
    <w:rsid w:val="001A7044"/>
    <w:rsid w:val="001B04F4"/>
    <w:rsid w:val="001B1781"/>
    <w:rsid w:val="001B7D17"/>
    <w:rsid w:val="001B7FFA"/>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204A"/>
    <w:rsid w:val="001F39B1"/>
    <w:rsid w:val="001F464F"/>
    <w:rsid w:val="001F5AA6"/>
    <w:rsid w:val="00200F1D"/>
    <w:rsid w:val="002054E3"/>
    <w:rsid w:val="00205B97"/>
    <w:rsid w:val="00214A55"/>
    <w:rsid w:val="00227859"/>
    <w:rsid w:val="00230F29"/>
    <w:rsid w:val="00233661"/>
    <w:rsid w:val="00233A9F"/>
    <w:rsid w:val="002348D5"/>
    <w:rsid w:val="0023590E"/>
    <w:rsid w:val="00236B0B"/>
    <w:rsid w:val="0024055D"/>
    <w:rsid w:val="00243C55"/>
    <w:rsid w:val="00244AE5"/>
    <w:rsid w:val="00245283"/>
    <w:rsid w:val="002463D5"/>
    <w:rsid w:val="00251314"/>
    <w:rsid w:val="00254C18"/>
    <w:rsid w:val="002559C0"/>
    <w:rsid w:val="00256639"/>
    <w:rsid w:val="00260B9C"/>
    <w:rsid w:val="00261076"/>
    <w:rsid w:val="00263BB4"/>
    <w:rsid w:val="002644BC"/>
    <w:rsid w:val="00264527"/>
    <w:rsid w:val="00264CCC"/>
    <w:rsid w:val="00266505"/>
    <w:rsid w:val="002677F2"/>
    <w:rsid w:val="00273A66"/>
    <w:rsid w:val="00274B85"/>
    <w:rsid w:val="00275154"/>
    <w:rsid w:val="00277C98"/>
    <w:rsid w:val="00283BE2"/>
    <w:rsid w:val="0028428B"/>
    <w:rsid w:val="0028711E"/>
    <w:rsid w:val="00287C30"/>
    <w:rsid w:val="00287F62"/>
    <w:rsid w:val="00287F7F"/>
    <w:rsid w:val="00295D00"/>
    <w:rsid w:val="002A4390"/>
    <w:rsid w:val="002A6FA1"/>
    <w:rsid w:val="002B0BFD"/>
    <w:rsid w:val="002B3EAB"/>
    <w:rsid w:val="002B3EE6"/>
    <w:rsid w:val="002B45E4"/>
    <w:rsid w:val="002C3826"/>
    <w:rsid w:val="002C3CCD"/>
    <w:rsid w:val="002C4EE1"/>
    <w:rsid w:val="002C5F9C"/>
    <w:rsid w:val="002D53D1"/>
    <w:rsid w:val="002D5679"/>
    <w:rsid w:val="002E0CED"/>
    <w:rsid w:val="002E74D3"/>
    <w:rsid w:val="002F2CB1"/>
    <w:rsid w:val="002F39AD"/>
    <w:rsid w:val="002F41A6"/>
    <w:rsid w:val="002F7245"/>
    <w:rsid w:val="00300CBE"/>
    <w:rsid w:val="003035C2"/>
    <w:rsid w:val="00306522"/>
    <w:rsid w:val="00313BF9"/>
    <w:rsid w:val="0031453D"/>
    <w:rsid w:val="00323AAC"/>
    <w:rsid w:val="003264C2"/>
    <w:rsid w:val="0032654D"/>
    <w:rsid w:val="0032679C"/>
    <w:rsid w:val="00327872"/>
    <w:rsid w:val="00327A80"/>
    <w:rsid w:val="003305D1"/>
    <w:rsid w:val="00331A48"/>
    <w:rsid w:val="00334622"/>
    <w:rsid w:val="003365D8"/>
    <w:rsid w:val="00337A03"/>
    <w:rsid w:val="00337D7D"/>
    <w:rsid w:val="00340AD6"/>
    <w:rsid w:val="003420F4"/>
    <w:rsid w:val="003425CA"/>
    <w:rsid w:val="003450D9"/>
    <w:rsid w:val="0034563B"/>
    <w:rsid w:val="00345EF1"/>
    <w:rsid w:val="00360038"/>
    <w:rsid w:val="00360643"/>
    <w:rsid w:val="00360EC3"/>
    <w:rsid w:val="0036433F"/>
    <w:rsid w:val="003655DC"/>
    <w:rsid w:val="00365FD7"/>
    <w:rsid w:val="003663A2"/>
    <w:rsid w:val="00370C26"/>
    <w:rsid w:val="00370F16"/>
    <w:rsid w:val="00374AB2"/>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C507B"/>
    <w:rsid w:val="003C524D"/>
    <w:rsid w:val="003C6092"/>
    <w:rsid w:val="003C77D1"/>
    <w:rsid w:val="003D18C8"/>
    <w:rsid w:val="003D2F59"/>
    <w:rsid w:val="003D36E4"/>
    <w:rsid w:val="003E0722"/>
    <w:rsid w:val="003E1197"/>
    <w:rsid w:val="003E2955"/>
    <w:rsid w:val="003E609B"/>
    <w:rsid w:val="003E7A60"/>
    <w:rsid w:val="003F15D6"/>
    <w:rsid w:val="003F1B83"/>
    <w:rsid w:val="003F47EA"/>
    <w:rsid w:val="003F5D9D"/>
    <w:rsid w:val="00401C54"/>
    <w:rsid w:val="00412376"/>
    <w:rsid w:val="0041276F"/>
    <w:rsid w:val="00412FCA"/>
    <w:rsid w:val="00414588"/>
    <w:rsid w:val="00414F7E"/>
    <w:rsid w:val="00415ABE"/>
    <w:rsid w:val="00417C56"/>
    <w:rsid w:val="004226A4"/>
    <w:rsid w:val="0042683E"/>
    <w:rsid w:val="00427331"/>
    <w:rsid w:val="00432A9D"/>
    <w:rsid w:val="00435561"/>
    <w:rsid w:val="004359EE"/>
    <w:rsid w:val="0043607F"/>
    <w:rsid w:val="004361B8"/>
    <w:rsid w:val="004362CB"/>
    <w:rsid w:val="00441970"/>
    <w:rsid w:val="00443452"/>
    <w:rsid w:val="00444A1D"/>
    <w:rsid w:val="00445712"/>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C2428"/>
    <w:rsid w:val="004D191D"/>
    <w:rsid w:val="004D2EBB"/>
    <w:rsid w:val="004E3574"/>
    <w:rsid w:val="004E38E0"/>
    <w:rsid w:val="004E434B"/>
    <w:rsid w:val="004E7E5D"/>
    <w:rsid w:val="004F0800"/>
    <w:rsid w:val="004F0ACC"/>
    <w:rsid w:val="004F2688"/>
    <w:rsid w:val="004F3D72"/>
    <w:rsid w:val="004F7B1B"/>
    <w:rsid w:val="00505FC6"/>
    <w:rsid w:val="00523098"/>
    <w:rsid w:val="00524DA2"/>
    <w:rsid w:val="0052640B"/>
    <w:rsid w:val="00527233"/>
    <w:rsid w:val="005277C9"/>
    <w:rsid w:val="00530AB0"/>
    <w:rsid w:val="00530D59"/>
    <w:rsid w:val="005324B9"/>
    <w:rsid w:val="00533C89"/>
    <w:rsid w:val="00535BEF"/>
    <w:rsid w:val="00537AF8"/>
    <w:rsid w:val="00537F58"/>
    <w:rsid w:val="00542D95"/>
    <w:rsid w:val="005440C1"/>
    <w:rsid w:val="005441AC"/>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B7F82"/>
    <w:rsid w:val="005C668E"/>
    <w:rsid w:val="005C720D"/>
    <w:rsid w:val="005D444A"/>
    <w:rsid w:val="005D4E9B"/>
    <w:rsid w:val="005D741D"/>
    <w:rsid w:val="005E02C5"/>
    <w:rsid w:val="005E1494"/>
    <w:rsid w:val="005E25E3"/>
    <w:rsid w:val="005E2F69"/>
    <w:rsid w:val="005E3AF9"/>
    <w:rsid w:val="005E543A"/>
    <w:rsid w:val="005E6CD0"/>
    <w:rsid w:val="005E7A2F"/>
    <w:rsid w:val="005F1EE1"/>
    <w:rsid w:val="005F4872"/>
    <w:rsid w:val="005F5607"/>
    <w:rsid w:val="00601DCA"/>
    <w:rsid w:val="00604D93"/>
    <w:rsid w:val="00605128"/>
    <w:rsid w:val="0060740E"/>
    <w:rsid w:val="00607B59"/>
    <w:rsid w:val="00613CD8"/>
    <w:rsid w:val="006142B6"/>
    <w:rsid w:val="00615BF5"/>
    <w:rsid w:val="00617123"/>
    <w:rsid w:val="0061728D"/>
    <w:rsid w:val="00621A7F"/>
    <w:rsid w:val="00622055"/>
    <w:rsid w:val="006230B6"/>
    <w:rsid w:val="00634601"/>
    <w:rsid w:val="00634F12"/>
    <w:rsid w:val="0063527A"/>
    <w:rsid w:val="00636BF7"/>
    <w:rsid w:val="00640D87"/>
    <w:rsid w:val="00641328"/>
    <w:rsid w:val="00641DC1"/>
    <w:rsid w:val="0064689D"/>
    <w:rsid w:val="00646B21"/>
    <w:rsid w:val="00652435"/>
    <w:rsid w:val="00652E8F"/>
    <w:rsid w:val="006553C0"/>
    <w:rsid w:val="006569B1"/>
    <w:rsid w:val="00656B79"/>
    <w:rsid w:val="0066001B"/>
    <w:rsid w:val="006600A6"/>
    <w:rsid w:val="006608A2"/>
    <w:rsid w:val="0066397F"/>
    <w:rsid w:val="006655E3"/>
    <w:rsid w:val="00666B1B"/>
    <w:rsid w:val="00670B15"/>
    <w:rsid w:val="006716C7"/>
    <w:rsid w:val="0067232B"/>
    <w:rsid w:val="00680110"/>
    <w:rsid w:val="00686226"/>
    <w:rsid w:val="00687930"/>
    <w:rsid w:val="006910CB"/>
    <w:rsid w:val="006931B3"/>
    <w:rsid w:val="00694123"/>
    <w:rsid w:val="00694F1E"/>
    <w:rsid w:val="00697305"/>
    <w:rsid w:val="006A27AE"/>
    <w:rsid w:val="006A35F9"/>
    <w:rsid w:val="006A44AB"/>
    <w:rsid w:val="006A6E3E"/>
    <w:rsid w:val="006A7D3B"/>
    <w:rsid w:val="006A7DD7"/>
    <w:rsid w:val="006B00EA"/>
    <w:rsid w:val="006B2129"/>
    <w:rsid w:val="006B4E81"/>
    <w:rsid w:val="006B5859"/>
    <w:rsid w:val="006B5913"/>
    <w:rsid w:val="006C3116"/>
    <w:rsid w:val="006C3B84"/>
    <w:rsid w:val="006C4701"/>
    <w:rsid w:val="006C6275"/>
    <w:rsid w:val="006D099F"/>
    <w:rsid w:val="006D6CFD"/>
    <w:rsid w:val="006D7FEC"/>
    <w:rsid w:val="006E1763"/>
    <w:rsid w:val="006E236A"/>
    <w:rsid w:val="006F236C"/>
    <w:rsid w:val="006F23D7"/>
    <w:rsid w:val="006F282C"/>
    <w:rsid w:val="006F55E0"/>
    <w:rsid w:val="006F58DA"/>
    <w:rsid w:val="006F7D7F"/>
    <w:rsid w:val="0070196C"/>
    <w:rsid w:val="00701D52"/>
    <w:rsid w:val="00702C69"/>
    <w:rsid w:val="00703178"/>
    <w:rsid w:val="00704B29"/>
    <w:rsid w:val="00705473"/>
    <w:rsid w:val="00707492"/>
    <w:rsid w:val="0071173F"/>
    <w:rsid w:val="0071363C"/>
    <w:rsid w:val="00713E25"/>
    <w:rsid w:val="00715994"/>
    <w:rsid w:val="00716039"/>
    <w:rsid w:val="007212C5"/>
    <w:rsid w:val="00722A73"/>
    <w:rsid w:val="00722C0E"/>
    <w:rsid w:val="00723DE3"/>
    <w:rsid w:val="007273E1"/>
    <w:rsid w:val="007315E1"/>
    <w:rsid w:val="00732587"/>
    <w:rsid w:val="00736996"/>
    <w:rsid w:val="00736B2C"/>
    <w:rsid w:val="00742532"/>
    <w:rsid w:val="00742D83"/>
    <w:rsid w:val="00744417"/>
    <w:rsid w:val="00751B07"/>
    <w:rsid w:val="0075269B"/>
    <w:rsid w:val="00754933"/>
    <w:rsid w:val="0075595C"/>
    <w:rsid w:val="00760A5A"/>
    <w:rsid w:val="007638AC"/>
    <w:rsid w:val="00764717"/>
    <w:rsid w:val="00764D5A"/>
    <w:rsid w:val="00767209"/>
    <w:rsid w:val="00767A6A"/>
    <w:rsid w:val="00770C43"/>
    <w:rsid w:val="007743A4"/>
    <w:rsid w:val="00774C14"/>
    <w:rsid w:val="00776567"/>
    <w:rsid w:val="007769AD"/>
    <w:rsid w:val="00777C87"/>
    <w:rsid w:val="00777C99"/>
    <w:rsid w:val="00777E9D"/>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A796F"/>
    <w:rsid w:val="007B34E6"/>
    <w:rsid w:val="007B79C6"/>
    <w:rsid w:val="007C1E9F"/>
    <w:rsid w:val="007C3A3B"/>
    <w:rsid w:val="007C452C"/>
    <w:rsid w:val="007D018A"/>
    <w:rsid w:val="007D205C"/>
    <w:rsid w:val="007D2615"/>
    <w:rsid w:val="007D2E24"/>
    <w:rsid w:val="007D3ED1"/>
    <w:rsid w:val="007D5FAA"/>
    <w:rsid w:val="007E709C"/>
    <w:rsid w:val="007F1596"/>
    <w:rsid w:val="008018D1"/>
    <w:rsid w:val="00813633"/>
    <w:rsid w:val="008200FA"/>
    <w:rsid w:val="0082179F"/>
    <w:rsid w:val="00821B5B"/>
    <w:rsid w:val="00823BCB"/>
    <w:rsid w:val="008240AB"/>
    <w:rsid w:val="00827719"/>
    <w:rsid w:val="008306F6"/>
    <w:rsid w:val="00833DDC"/>
    <w:rsid w:val="00833EA9"/>
    <w:rsid w:val="00835988"/>
    <w:rsid w:val="00840CE7"/>
    <w:rsid w:val="00841AB2"/>
    <w:rsid w:val="008456D2"/>
    <w:rsid w:val="00847C18"/>
    <w:rsid w:val="0085192C"/>
    <w:rsid w:val="00854FEF"/>
    <w:rsid w:val="0085681E"/>
    <w:rsid w:val="00856A34"/>
    <w:rsid w:val="008603DF"/>
    <w:rsid w:val="00862740"/>
    <w:rsid w:val="0086320D"/>
    <w:rsid w:val="00866195"/>
    <w:rsid w:val="00866A14"/>
    <w:rsid w:val="00867211"/>
    <w:rsid w:val="00874E51"/>
    <w:rsid w:val="00875D8A"/>
    <w:rsid w:val="00884856"/>
    <w:rsid w:val="00891306"/>
    <w:rsid w:val="0089494B"/>
    <w:rsid w:val="008A1ADE"/>
    <w:rsid w:val="008A37CE"/>
    <w:rsid w:val="008A4B7D"/>
    <w:rsid w:val="008A54C6"/>
    <w:rsid w:val="008B1B5A"/>
    <w:rsid w:val="008B2E8E"/>
    <w:rsid w:val="008B4278"/>
    <w:rsid w:val="008B4974"/>
    <w:rsid w:val="008B5CC9"/>
    <w:rsid w:val="008B5DEF"/>
    <w:rsid w:val="008B5E0B"/>
    <w:rsid w:val="008C1E83"/>
    <w:rsid w:val="008C374D"/>
    <w:rsid w:val="008C3855"/>
    <w:rsid w:val="008C57EB"/>
    <w:rsid w:val="008C78FE"/>
    <w:rsid w:val="008C7B86"/>
    <w:rsid w:val="008D1A0C"/>
    <w:rsid w:val="008D2A6D"/>
    <w:rsid w:val="008D38F0"/>
    <w:rsid w:val="008D60F6"/>
    <w:rsid w:val="008D6ED8"/>
    <w:rsid w:val="008D709E"/>
    <w:rsid w:val="008E19C9"/>
    <w:rsid w:val="008E372C"/>
    <w:rsid w:val="008E6552"/>
    <w:rsid w:val="008E7EBA"/>
    <w:rsid w:val="008F0570"/>
    <w:rsid w:val="008F1A09"/>
    <w:rsid w:val="008F7A2A"/>
    <w:rsid w:val="00901D66"/>
    <w:rsid w:val="00902DE2"/>
    <w:rsid w:val="009037C3"/>
    <w:rsid w:val="00903E10"/>
    <w:rsid w:val="0090401E"/>
    <w:rsid w:val="00907954"/>
    <w:rsid w:val="00915496"/>
    <w:rsid w:val="00921F52"/>
    <w:rsid w:val="009241C4"/>
    <w:rsid w:val="0092526A"/>
    <w:rsid w:val="00925982"/>
    <w:rsid w:val="00926C64"/>
    <w:rsid w:val="00927CE1"/>
    <w:rsid w:val="009304A9"/>
    <w:rsid w:val="009336A0"/>
    <w:rsid w:val="00936028"/>
    <w:rsid w:val="009360D3"/>
    <w:rsid w:val="009364A5"/>
    <w:rsid w:val="00937B04"/>
    <w:rsid w:val="00942218"/>
    <w:rsid w:val="009465BD"/>
    <w:rsid w:val="009471AA"/>
    <w:rsid w:val="00950151"/>
    <w:rsid w:val="00951E92"/>
    <w:rsid w:val="009538B4"/>
    <w:rsid w:val="00953E6A"/>
    <w:rsid w:val="0095487A"/>
    <w:rsid w:val="009553FE"/>
    <w:rsid w:val="00960EF2"/>
    <w:rsid w:val="009627C5"/>
    <w:rsid w:val="00963B4A"/>
    <w:rsid w:val="009651E2"/>
    <w:rsid w:val="00965C62"/>
    <w:rsid w:val="009667AC"/>
    <w:rsid w:val="0096746F"/>
    <w:rsid w:val="009743D5"/>
    <w:rsid w:val="00974932"/>
    <w:rsid w:val="00975069"/>
    <w:rsid w:val="00975433"/>
    <w:rsid w:val="00980C2C"/>
    <w:rsid w:val="00980DD0"/>
    <w:rsid w:val="00982516"/>
    <w:rsid w:val="00991049"/>
    <w:rsid w:val="00992204"/>
    <w:rsid w:val="009945C2"/>
    <w:rsid w:val="009963C5"/>
    <w:rsid w:val="009A0232"/>
    <w:rsid w:val="009A1F40"/>
    <w:rsid w:val="009A513F"/>
    <w:rsid w:val="009A52D8"/>
    <w:rsid w:val="009A79A1"/>
    <w:rsid w:val="009B22CA"/>
    <w:rsid w:val="009B2AE8"/>
    <w:rsid w:val="009B4B94"/>
    <w:rsid w:val="009B5B82"/>
    <w:rsid w:val="009B6FC2"/>
    <w:rsid w:val="009B7654"/>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0FA8"/>
    <w:rsid w:val="009F439E"/>
    <w:rsid w:val="009F72CF"/>
    <w:rsid w:val="00A03ACE"/>
    <w:rsid w:val="00A04F48"/>
    <w:rsid w:val="00A11B9E"/>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96644"/>
    <w:rsid w:val="00AA0962"/>
    <w:rsid w:val="00AA0B62"/>
    <w:rsid w:val="00AA2657"/>
    <w:rsid w:val="00AA45DE"/>
    <w:rsid w:val="00AA493E"/>
    <w:rsid w:val="00AA6511"/>
    <w:rsid w:val="00AA6EA7"/>
    <w:rsid w:val="00AA7C74"/>
    <w:rsid w:val="00AA7CF6"/>
    <w:rsid w:val="00AB0A07"/>
    <w:rsid w:val="00AB1BE2"/>
    <w:rsid w:val="00AB4B47"/>
    <w:rsid w:val="00AB665F"/>
    <w:rsid w:val="00AC5A83"/>
    <w:rsid w:val="00AD35CD"/>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62C9"/>
    <w:rsid w:val="00AF7563"/>
    <w:rsid w:val="00B01557"/>
    <w:rsid w:val="00B02B5B"/>
    <w:rsid w:val="00B0368A"/>
    <w:rsid w:val="00B07C16"/>
    <w:rsid w:val="00B1072E"/>
    <w:rsid w:val="00B134AB"/>
    <w:rsid w:val="00B15F45"/>
    <w:rsid w:val="00B20760"/>
    <w:rsid w:val="00B214B1"/>
    <w:rsid w:val="00B25251"/>
    <w:rsid w:val="00B256E8"/>
    <w:rsid w:val="00B26F68"/>
    <w:rsid w:val="00B338D9"/>
    <w:rsid w:val="00B33AF3"/>
    <w:rsid w:val="00B34123"/>
    <w:rsid w:val="00B353BB"/>
    <w:rsid w:val="00B409CC"/>
    <w:rsid w:val="00B425D0"/>
    <w:rsid w:val="00B470A8"/>
    <w:rsid w:val="00B5011F"/>
    <w:rsid w:val="00B52343"/>
    <w:rsid w:val="00B527B0"/>
    <w:rsid w:val="00B6200D"/>
    <w:rsid w:val="00B65489"/>
    <w:rsid w:val="00B7391D"/>
    <w:rsid w:val="00B7587C"/>
    <w:rsid w:val="00B80932"/>
    <w:rsid w:val="00B816DB"/>
    <w:rsid w:val="00B84969"/>
    <w:rsid w:val="00B85905"/>
    <w:rsid w:val="00B90A0F"/>
    <w:rsid w:val="00B9314D"/>
    <w:rsid w:val="00B93550"/>
    <w:rsid w:val="00B947E5"/>
    <w:rsid w:val="00B970DD"/>
    <w:rsid w:val="00BA03DD"/>
    <w:rsid w:val="00BA0DDD"/>
    <w:rsid w:val="00BA2ECF"/>
    <w:rsid w:val="00BA49CE"/>
    <w:rsid w:val="00BA584D"/>
    <w:rsid w:val="00BB082C"/>
    <w:rsid w:val="00BB3E01"/>
    <w:rsid w:val="00BB63B6"/>
    <w:rsid w:val="00BC07C9"/>
    <w:rsid w:val="00BC5500"/>
    <w:rsid w:val="00BC6D0E"/>
    <w:rsid w:val="00BC7470"/>
    <w:rsid w:val="00BC77D8"/>
    <w:rsid w:val="00BD15A7"/>
    <w:rsid w:val="00BD28F7"/>
    <w:rsid w:val="00BD7564"/>
    <w:rsid w:val="00BD79B4"/>
    <w:rsid w:val="00BD7C7C"/>
    <w:rsid w:val="00BE0110"/>
    <w:rsid w:val="00BE405A"/>
    <w:rsid w:val="00BE66E4"/>
    <w:rsid w:val="00BE6A55"/>
    <w:rsid w:val="00BE703A"/>
    <w:rsid w:val="00BF2161"/>
    <w:rsid w:val="00BF55A1"/>
    <w:rsid w:val="00BF5E70"/>
    <w:rsid w:val="00BF7917"/>
    <w:rsid w:val="00BF7DD5"/>
    <w:rsid w:val="00BF7FE4"/>
    <w:rsid w:val="00C0344E"/>
    <w:rsid w:val="00C07249"/>
    <w:rsid w:val="00C1084A"/>
    <w:rsid w:val="00C12DA1"/>
    <w:rsid w:val="00C13E6E"/>
    <w:rsid w:val="00C16978"/>
    <w:rsid w:val="00C17110"/>
    <w:rsid w:val="00C2091E"/>
    <w:rsid w:val="00C20B4B"/>
    <w:rsid w:val="00C247F2"/>
    <w:rsid w:val="00C26DB2"/>
    <w:rsid w:val="00C30A04"/>
    <w:rsid w:val="00C31A1B"/>
    <w:rsid w:val="00C34E73"/>
    <w:rsid w:val="00C360DE"/>
    <w:rsid w:val="00C4135F"/>
    <w:rsid w:val="00C41E6C"/>
    <w:rsid w:val="00C44AAA"/>
    <w:rsid w:val="00C466FF"/>
    <w:rsid w:val="00C479FD"/>
    <w:rsid w:val="00C5080E"/>
    <w:rsid w:val="00C559BB"/>
    <w:rsid w:val="00C60CFA"/>
    <w:rsid w:val="00C60D95"/>
    <w:rsid w:val="00C64C6C"/>
    <w:rsid w:val="00C6543A"/>
    <w:rsid w:val="00C70C93"/>
    <w:rsid w:val="00C72E21"/>
    <w:rsid w:val="00C73F04"/>
    <w:rsid w:val="00C75CCA"/>
    <w:rsid w:val="00C77EA5"/>
    <w:rsid w:val="00C81FCE"/>
    <w:rsid w:val="00C87A2B"/>
    <w:rsid w:val="00C910EB"/>
    <w:rsid w:val="00C941C4"/>
    <w:rsid w:val="00C955B6"/>
    <w:rsid w:val="00C955EA"/>
    <w:rsid w:val="00C977DB"/>
    <w:rsid w:val="00CA04F3"/>
    <w:rsid w:val="00CA06DE"/>
    <w:rsid w:val="00CA5E12"/>
    <w:rsid w:val="00CA70FA"/>
    <w:rsid w:val="00CA7953"/>
    <w:rsid w:val="00CB1140"/>
    <w:rsid w:val="00CB123B"/>
    <w:rsid w:val="00CB3120"/>
    <w:rsid w:val="00CB3D26"/>
    <w:rsid w:val="00CB5BA2"/>
    <w:rsid w:val="00CC2A79"/>
    <w:rsid w:val="00CC3CDB"/>
    <w:rsid w:val="00CD1001"/>
    <w:rsid w:val="00CD25FA"/>
    <w:rsid w:val="00CD37B7"/>
    <w:rsid w:val="00CD7A24"/>
    <w:rsid w:val="00CE28AD"/>
    <w:rsid w:val="00CE56AA"/>
    <w:rsid w:val="00CE6916"/>
    <w:rsid w:val="00CE6E8C"/>
    <w:rsid w:val="00D02DC6"/>
    <w:rsid w:val="00D03D9C"/>
    <w:rsid w:val="00D05E21"/>
    <w:rsid w:val="00D14019"/>
    <w:rsid w:val="00D147A5"/>
    <w:rsid w:val="00D153FB"/>
    <w:rsid w:val="00D15722"/>
    <w:rsid w:val="00D17E81"/>
    <w:rsid w:val="00D21CCE"/>
    <w:rsid w:val="00D23927"/>
    <w:rsid w:val="00D313B7"/>
    <w:rsid w:val="00D31CAA"/>
    <w:rsid w:val="00D33664"/>
    <w:rsid w:val="00D36666"/>
    <w:rsid w:val="00D37225"/>
    <w:rsid w:val="00D4099F"/>
    <w:rsid w:val="00D4354E"/>
    <w:rsid w:val="00D44C11"/>
    <w:rsid w:val="00D5191D"/>
    <w:rsid w:val="00D52ECA"/>
    <w:rsid w:val="00D537AF"/>
    <w:rsid w:val="00D60741"/>
    <w:rsid w:val="00D60D43"/>
    <w:rsid w:val="00D62F01"/>
    <w:rsid w:val="00D63770"/>
    <w:rsid w:val="00D63FA1"/>
    <w:rsid w:val="00D650C5"/>
    <w:rsid w:val="00D6757E"/>
    <w:rsid w:val="00D702FD"/>
    <w:rsid w:val="00D7081F"/>
    <w:rsid w:val="00D71184"/>
    <w:rsid w:val="00D715B5"/>
    <w:rsid w:val="00D72ABB"/>
    <w:rsid w:val="00D7514E"/>
    <w:rsid w:val="00D75E71"/>
    <w:rsid w:val="00D77EF7"/>
    <w:rsid w:val="00D80626"/>
    <w:rsid w:val="00D81003"/>
    <w:rsid w:val="00D83C6E"/>
    <w:rsid w:val="00D913B5"/>
    <w:rsid w:val="00D918FD"/>
    <w:rsid w:val="00D94CB7"/>
    <w:rsid w:val="00D94F19"/>
    <w:rsid w:val="00D95018"/>
    <w:rsid w:val="00D9783B"/>
    <w:rsid w:val="00DA25C0"/>
    <w:rsid w:val="00DA3F4A"/>
    <w:rsid w:val="00DA427B"/>
    <w:rsid w:val="00DA47A7"/>
    <w:rsid w:val="00DA55CD"/>
    <w:rsid w:val="00DA6A08"/>
    <w:rsid w:val="00DB0857"/>
    <w:rsid w:val="00DB13F4"/>
    <w:rsid w:val="00DB3D46"/>
    <w:rsid w:val="00DB4E56"/>
    <w:rsid w:val="00DB5056"/>
    <w:rsid w:val="00DB5872"/>
    <w:rsid w:val="00DB7D46"/>
    <w:rsid w:val="00DC01C3"/>
    <w:rsid w:val="00DC3BF3"/>
    <w:rsid w:val="00DC667C"/>
    <w:rsid w:val="00DE0A45"/>
    <w:rsid w:val="00DE1046"/>
    <w:rsid w:val="00DE1557"/>
    <w:rsid w:val="00DE52F9"/>
    <w:rsid w:val="00DE5E30"/>
    <w:rsid w:val="00DE5FAB"/>
    <w:rsid w:val="00DF217C"/>
    <w:rsid w:val="00DF5356"/>
    <w:rsid w:val="00DF6629"/>
    <w:rsid w:val="00E006DF"/>
    <w:rsid w:val="00E00A2B"/>
    <w:rsid w:val="00E00D51"/>
    <w:rsid w:val="00E01A5D"/>
    <w:rsid w:val="00E03D24"/>
    <w:rsid w:val="00E05A4F"/>
    <w:rsid w:val="00E06141"/>
    <w:rsid w:val="00E1336B"/>
    <w:rsid w:val="00E141E9"/>
    <w:rsid w:val="00E16982"/>
    <w:rsid w:val="00E17C7F"/>
    <w:rsid w:val="00E20287"/>
    <w:rsid w:val="00E21253"/>
    <w:rsid w:val="00E23223"/>
    <w:rsid w:val="00E23F7D"/>
    <w:rsid w:val="00E24DA0"/>
    <w:rsid w:val="00E254ED"/>
    <w:rsid w:val="00E26990"/>
    <w:rsid w:val="00E31046"/>
    <w:rsid w:val="00E32D05"/>
    <w:rsid w:val="00E34BB5"/>
    <w:rsid w:val="00E34EC5"/>
    <w:rsid w:val="00E403DD"/>
    <w:rsid w:val="00E40D5E"/>
    <w:rsid w:val="00E42464"/>
    <w:rsid w:val="00E42A24"/>
    <w:rsid w:val="00E43F51"/>
    <w:rsid w:val="00E45ADE"/>
    <w:rsid w:val="00E51214"/>
    <w:rsid w:val="00E528CF"/>
    <w:rsid w:val="00E5387E"/>
    <w:rsid w:val="00E541FA"/>
    <w:rsid w:val="00E64F16"/>
    <w:rsid w:val="00E65E5C"/>
    <w:rsid w:val="00E66153"/>
    <w:rsid w:val="00E7044A"/>
    <w:rsid w:val="00E70A4D"/>
    <w:rsid w:val="00E73E96"/>
    <w:rsid w:val="00E76243"/>
    <w:rsid w:val="00E8164F"/>
    <w:rsid w:val="00E841E3"/>
    <w:rsid w:val="00E8586B"/>
    <w:rsid w:val="00E90B02"/>
    <w:rsid w:val="00E912E3"/>
    <w:rsid w:val="00E94BB3"/>
    <w:rsid w:val="00E96A8A"/>
    <w:rsid w:val="00E96B1E"/>
    <w:rsid w:val="00E9775F"/>
    <w:rsid w:val="00E97963"/>
    <w:rsid w:val="00EA11B9"/>
    <w:rsid w:val="00EA54CE"/>
    <w:rsid w:val="00EA6C99"/>
    <w:rsid w:val="00EA7171"/>
    <w:rsid w:val="00EB787D"/>
    <w:rsid w:val="00EC0042"/>
    <w:rsid w:val="00EC0FB0"/>
    <w:rsid w:val="00EC1075"/>
    <w:rsid w:val="00EC112F"/>
    <w:rsid w:val="00EC319A"/>
    <w:rsid w:val="00ED54DF"/>
    <w:rsid w:val="00ED580B"/>
    <w:rsid w:val="00ED6D55"/>
    <w:rsid w:val="00EE34C6"/>
    <w:rsid w:val="00EE3942"/>
    <w:rsid w:val="00EE500F"/>
    <w:rsid w:val="00EE52EC"/>
    <w:rsid w:val="00EE56D2"/>
    <w:rsid w:val="00EE62B1"/>
    <w:rsid w:val="00EE6DAF"/>
    <w:rsid w:val="00EE7A74"/>
    <w:rsid w:val="00EF1378"/>
    <w:rsid w:val="00EF1825"/>
    <w:rsid w:val="00EF2040"/>
    <w:rsid w:val="00EF2770"/>
    <w:rsid w:val="00EF422B"/>
    <w:rsid w:val="00EF798C"/>
    <w:rsid w:val="00F00168"/>
    <w:rsid w:val="00F00F73"/>
    <w:rsid w:val="00F047E7"/>
    <w:rsid w:val="00F04838"/>
    <w:rsid w:val="00F05DEE"/>
    <w:rsid w:val="00F07391"/>
    <w:rsid w:val="00F115B8"/>
    <w:rsid w:val="00F11BD1"/>
    <w:rsid w:val="00F13457"/>
    <w:rsid w:val="00F1500F"/>
    <w:rsid w:val="00F17857"/>
    <w:rsid w:val="00F214ED"/>
    <w:rsid w:val="00F21926"/>
    <w:rsid w:val="00F22127"/>
    <w:rsid w:val="00F23835"/>
    <w:rsid w:val="00F23FD2"/>
    <w:rsid w:val="00F243B3"/>
    <w:rsid w:val="00F2626B"/>
    <w:rsid w:val="00F30305"/>
    <w:rsid w:val="00F319C6"/>
    <w:rsid w:val="00F37553"/>
    <w:rsid w:val="00F402D1"/>
    <w:rsid w:val="00F4038C"/>
    <w:rsid w:val="00F441E7"/>
    <w:rsid w:val="00F44CE4"/>
    <w:rsid w:val="00F46D19"/>
    <w:rsid w:val="00F470EA"/>
    <w:rsid w:val="00F50648"/>
    <w:rsid w:val="00F543D6"/>
    <w:rsid w:val="00F5498E"/>
    <w:rsid w:val="00F66E76"/>
    <w:rsid w:val="00F70C78"/>
    <w:rsid w:val="00F760EF"/>
    <w:rsid w:val="00F832A9"/>
    <w:rsid w:val="00F836EC"/>
    <w:rsid w:val="00F84372"/>
    <w:rsid w:val="00F85A3D"/>
    <w:rsid w:val="00F90EC3"/>
    <w:rsid w:val="00F92333"/>
    <w:rsid w:val="00F9288C"/>
    <w:rsid w:val="00F962A7"/>
    <w:rsid w:val="00F962F2"/>
    <w:rsid w:val="00FA0061"/>
    <w:rsid w:val="00FA5F8D"/>
    <w:rsid w:val="00FA5FB1"/>
    <w:rsid w:val="00FB2064"/>
    <w:rsid w:val="00FB2565"/>
    <w:rsid w:val="00FB2726"/>
    <w:rsid w:val="00FB7A64"/>
    <w:rsid w:val="00FC30DC"/>
    <w:rsid w:val="00FC64AC"/>
    <w:rsid w:val="00FD08C9"/>
    <w:rsid w:val="00FD3A0D"/>
    <w:rsid w:val="00FD4BFD"/>
    <w:rsid w:val="00FE1BE7"/>
    <w:rsid w:val="00FE4B67"/>
    <w:rsid w:val="00FE6084"/>
    <w:rsid w:val="00FE7FF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F2ADCA55-F089-4536-8C74-0ACFD1E5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95"/>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paragraph" w:styleId="Textvysvtlivek">
    <w:name w:val="endnote text"/>
    <w:basedOn w:val="Normln"/>
    <w:link w:val="TextvysvtlivekChar"/>
    <w:uiPriority w:val="99"/>
    <w:semiHidden/>
    <w:unhideWhenUsed/>
    <w:rsid w:val="00122C95"/>
    <w:rPr>
      <w:sz w:val="20"/>
    </w:rPr>
  </w:style>
  <w:style w:type="character" w:customStyle="1" w:styleId="TextvysvtlivekChar">
    <w:name w:val="Text vysvětlivek Char"/>
    <w:basedOn w:val="Standardnpsmoodstavce"/>
    <w:link w:val="Textvysvtlivek"/>
    <w:uiPriority w:val="99"/>
    <w:semiHidden/>
    <w:rsid w:val="00122C95"/>
  </w:style>
  <w:style w:type="character" w:styleId="Odkaznavysvtlivky">
    <w:name w:val="endnote reference"/>
    <w:basedOn w:val="Standardnpsmoodstavce"/>
    <w:uiPriority w:val="99"/>
    <w:semiHidden/>
    <w:unhideWhenUsed/>
    <w:rsid w:val="00122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https://www.ksus.cz/kontakty/reditelstv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https://www.ksus.cz/kontakty/reditelstv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roslav.dostal@ks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iroslav.tynek@ksu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51716CB7A47A9A58217EB287B971F"/>
        <w:category>
          <w:name w:val="Obecné"/>
          <w:gallery w:val="placeholder"/>
        </w:category>
        <w:types>
          <w:type w:val="bbPlcHdr"/>
        </w:types>
        <w:behaviors>
          <w:behavior w:val="content"/>
        </w:behaviors>
        <w:guid w:val="{F76703A9-BEEC-4708-A4ED-5B0461082FF4}"/>
      </w:docPartPr>
      <w:docPartBody>
        <w:p w:rsidR="00825836" w:rsidRDefault="001F15E5" w:rsidP="001F15E5">
          <w:pPr>
            <w:pStyle w:val="4B251716CB7A47A9A58217EB287B971F"/>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5"/>
    <w:rsid w:val="000F2E61"/>
    <w:rsid w:val="001F15E5"/>
    <w:rsid w:val="004B0A45"/>
    <w:rsid w:val="00655AA4"/>
    <w:rsid w:val="00825836"/>
    <w:rsid w:val="00861BAB"/>
    <w:rsid w:val="009B7654"/>
    <w:rsid w:val="00EF2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5836"/>
    <w:rPr>
      <w:color w:val="808080"/>
    </w:rPr>
  </w:style>
  <w:style w:type="paragraph" w:customStyle="1" w:styleId="4B251716CB7A47A9A58217EB287B971F">
    <w:name w:val="4B251716CB7A47A9A58217EB287B971F"/>
    <w:rsid w:val="001F1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B44E91A-9670-4856-B325-8924BD0BCADD}">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11092</Words>
  <Characters>65447</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9</cp:revision>
  <dcterms:created xsi:type="dcterms:W3CDTF">2025-04-14T09:11:00Z</dcterms:created>
  <dcterms:modified xsi:type="dcterms:W3CDTF">2025-08-22T10:21:00Z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