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9BA7BDD" w:rsidR="00A26949" w:rsidRDefault="00A26949" w:rsidP="00902E9F">
            <w:pPr>
              <w:pStyle w:val="16NzevVZ"/>
            </w:pPr>
            <w:r>
              <w:t>„</w:t>
            </w:r>
            <w:r w:rsidR="00357BF5">
              <w:t>Stavebně-technická činnost ZZS SK 2025-2027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463FA7">
        <w:tc>
          <w:tcPr>
            <w:tcW w:w="3020" w:type="dxa"/>
            <w:tcBorders>
              <w:bottom w:val="single" w:sz="4" w:space="0" w:color="auto"/>
            </w:tcBorders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463FA7">
        <w:tc>
          <w:tcPr>
            <w:tcW w:w="3020" w:type="dxa"/>
            <w:tcBorders>
              <w:top w:val="single" w:sz="4" w:space="0" w:color="auto"/>
              <w:bottom w:val="single" w:sz="12" w:space="0" w:color="auto"/>
            </w:tcBorders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12" w:space="0" w:color="auto"/>
            </w:tcBorders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12" w:space="0" w:color="auto"/>
            </w:tcBorders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357BF5" w:rsidRDefault="00101C2F" w:rsidP="00101C2F">
      <w:pPr>
        <w:pStyle w:val="03Podlnek"/>
      </w:pPr>
      <w:r w:rsidRPr="00357BF5">
        <w:t>Technická kvalifikace</w:t>
      </w:r>
    </w:p>
    <w:p w14:paraId="660C510F" w14:textId="36AB1F30" w:rsidR="00E337A5" w:rsidRDefault="005A0C80" w:rsidP="006550BD">
      <w:pPr>
        <w:pStyle w:val="06Odstavecneslovan"/>
      </w:pPr>
      <w:r w:rsidRPr="005A0C80">
        <w:t>Dodavatel</w:t>
      </w:r>
      <w:r>
        <w:t xml:space="preserve"> </w:t>
      </w:r>
      <w:r w:rsidR="00357BF5">
        <w:t>ve vztahu ke své technické kvalifikaci čestně prohlašuje, že při plnění veřejné zakázky využije následující autorizovanou osobu: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9"/>
        <w:gridCol w:w="4236"/>
      </w:tblGrid>
      <w:tr w:rsidR="00357BF5" w14:paraId="66167C2D" w14:textId="77777777" w:rsidTr="00463FA7"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</w:tcPr>
          <w:p w14:paraId="254002F8" w14:textId="4BDEA45F" w:rsidR="00357BF5" w:rsidRDefault="00357BF5" w:rsidP="00357BF5">
            <w:pPr>
              <w:pStyle w:val="11Tabulka-tunvlevo"/>
            </w:pPr>
            <w:r>
              <w:t>Jméno a příjmení: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23BEB445" w14:textId="46F0485E" w:rsidR="00357BF5" w:rsidRDefault="00357BF5" w:rsidP="00357BF5">
            <w:pPr>
              <w:pStyle w:val="13Tabulkasted"/>
              <w:jc w:val="right"/>
            </w:pPr>
            <w:r w:rsidRPr="00357BF5">
              <w:rPr>
                <w:highlight w:val="yellow"/>
              </w:rPr>
              <w:t>[dodavatel doplní jméno a příjmení]</w:t>
            </w:r>
          </w:p>
        </w:tc>
      </w:tr>
      <w:tr w:rsidR="00357BF5" w14:paraId="53CC0138" w14:textId="77777777" w:rsidTr="00463FA7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A2" w14:textId="4C4D01CF" w:rsidR="00357BF5" w:rsidRDefault="00357BF5" w:rsidP="00357BF5">
            <w:pPr>
              <w:pStyle w:val="11Tabulka-tunvlevo"/>
            </w:pPr>
            <w:r>
              <w:t>Členské číslo ČKAIT: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3F1D" w14:textId="5A1A76F3" w:rsidR="00357BF5" w:rsidRDefault="00357BF5" w:rsidP="00357BF5">
            <w:pPr>
              <w:pStyle w:val="13Tabulkasted"/>
              <w:jc w:val="right"/>
            </w:pPr>
            <w:r w:rsidRPr="00357BF5">
              <w:rPr>
                <w:highlight w:val="yellow"/>
              </w:rPr>
              <w:t>[</w:t>
            </w:r>
            <w:r w:rsidRPr="00357BF5">
              <w:rPr>
                <w:highlight w:val="yellow"/>
              </w:rPr>
              <w:t>dodavatel doplní číslo</w:t>
            </w:r>
            <w:r w:rsidRPr="00357BF5">
              <w:rPr>
                <w:highlight w:val="yellow"/>
              </w:rPr>
              <w:t>]</w:t>
            </w:r>
          </w:p>
        </w:tc>
      </w:tr>
      <w:tr w:rsidR="00357BF5" w14:paraId="10CC5FEF" w14:textId="77777777" w:rsidTr="00463FA7"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</w:tcPr>
          <w:p w14:paraId="54579856" w14:textId="26CE6B62" w:rsidR="00357BF5" w:rsidRDefault="00357BF5" w:rsidP="00357BF5">
            <w:pPr>
              <w:pStyle w:val="11Tabulka-tunvlevo"/>
            </w:pPr>
            <w:r>
              <w:t>Informace o délce praxe: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</w:tcPr>
          <w:p w14:paraId="3F7BF0A9" w14:textId="7DF4C73F" w:rsidR="00357BF5" w:rsidRDefault="00357BF5" w:rsidP="00357BF5">
            <w:pPr>
              <w:pStyle w:val="13Tabulkasted"/>
              <w:jc w:val="right"/>
            </w:pPr>
            <w:r w:rsidRPr="00357BF5">
              <w:rPr>
                <w:highlight w:val="yellow"/>
              </w:rPr>
              <w:t>[</w:t>
            </w:r>
            <w:r w:rsidRPr="00357BF5">
              <w:rPr>
                <w:highlight w:val="yellow"/>
              </w:rPr>
              <w:t xml:space="preserve">dodavatel doplní </w:t>
            </w:r>
            <w:r>
              <w:rPr>
                <w:highlight w:val="yellow"/>
              </w:rPr>
              <w:t>číslo</w:t>
            </w:r>
            <w:r w:rsidRPr="00357BF5">
              <w:rPr>
                <w:highlight w:val="yellow"/>
              </w:rPr>
              <w:t>]</w:t>
            </w:r>
            <w:r>
              <w:t xml:space="preserve"> let</w:t>
            </w:r>
          </w:p>
        </w:tc>
      </w:tr>
    </w:tbl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lastRenderedPageBreak/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06A3" w14:textId="77777777" w:rsidR="00F3105E" w:rsidRDefault="00F3105E" w:rsidP="00F237E9">
      <w:pPr>
        <w:spacing w:after="0" w:line="240" w:lineRule="auto"/>
      </w:pPr>
      <w:r>
        <w:separator/>
      </w:r>
    </w:p>
  </w:endnote>
  <w:endnote w:type="continuationSeparator" w:id="0">
    <w:p w14:paraId="36CD128E" w14:textId="77777777" w:rsidR="00F3105E" w:rsidRDefault="00F3105E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43A9" w14:textId="77777777" w:rsidR="00F3105E" w:rsidRDefault="00F3105E" w:rsidP="00F237E9">
      <w:pPr>
        <w:spacing w:after="0" w:line="240" w:lineRule="auto"/>
      </w:pPr>
      <w:r>
        <w:separator/>
      </w:r>
    </w:p>
  </w:footnote>
  <w:footnote w:type="continuationSeparator" w:id="0">
    <w:p w14:paraId="762EB2CD" w14:textId="77777777" w:rsidR="00F3105E" w:rsidRDefault="00F3105E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4387B177" w:rsidR="00B77EA8" w:rsidRPr="00925433" w:rsidRDefault="00357BF5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Stavebně-technická činnost ZZS SK 2025-2027</w:t>
          </w:r>
          <w:r w:rsidR="00B77EA8" w:rsidRPr="00925433">
            <w:tab/>
          </w:r>
          <w:r w:rsidR="00B77EA8"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77EA8">
            <w:tab/>
          </w:r>
          <w:r w:rsidR="00B77EA8"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57BF5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3FA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02C60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3105E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Pochmon, Zbyněk</cp:lastModifiedBy>
  <cp:revision>78</cp:revision>
  <dcterms:created xsi:type="dcterms:W3CDTF">2024-01-29T17:45:00Z</dcterms:created>
  <dcterms:modified xsi:type="dcterms:W3CDTF">2025-07-14T12:08:00Z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