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7D11" w14:textId="77777777" w:rsidR="00211C49" w:rsidRDefault="00211C49" w:rsidP="00211C49">
      <w:pPr>
        <w:pStyle w:val="Standard"/>
      </w:pPr>
      <w:r>
        <w:rPr>
          <w:noProof/>
        </w:rPr>
        <w:drawing>
          <wp:inline distT="0" distB="0" distL="0" distR="0" wp14:anchorId="56167B7F" wp14:editId="378C97B8">
            <wp:extent cx="1676400" cy="400050"/>
            <wp:effectExtent l="19050" t="0" r="0" b="0"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0E1D2" w14:textId="77777777" w:rsidR="00211C49" w:rsidRDefault="00211C49" w:rsidP="00211C49">
      <w:pPr>
        <w:pStyle w:val="Standard"/>
        <w:rPr>
          <w:b/>
          <w:bCs/>
          <w:i/>
          <w:iCs/>
          <w:color w:val="000080"/>
          <w:sz w:val="28"/>
          <w:szCs w:val="28"/>
        </w:rPr>
      </w:pPr>
    </w:p>
    <w:p w14:paraId="3B741DAA" w14:textId="77777777" w:rsidR="00221D5E" w:rsidRDefault="00221D5E" w:rsidP="00221D5E">
      <w:pPr>
        <w:pStyle w:val="Zkladntext"/>
        <w:spacing w:after="60" w:line="276" w:lineRule="auto"/>
        <w:rPr>
          <w:highlight w:val="green"/>
        </w:rPr>
      </w:pPr>
    </w:p>
    <w:p w14:paraId="70A2DDA5" w14:textId="77777777" w:rsidR="00221D5E" w:rsidRPr="000827AF" w:rsidRDefault="00221D5E" w:rsidP="00221D5E">
      <w:pPr>
        <w:pStyle w:val="Zkladntext"/>
        <w:spacing w:after="60" w:line="276" w:lineRule="auto"/>
        <w:jc w:val="center"/>
        <w:rPr>
          <w:b/>
          <w:bCs/>
        </w:rPr>
      </w:pPr>
      <w:r w:rsidRPr="000827AF">
        <w:rPr>
          <w:b/>
          <w:bCs/>
        </w:rPr>
        <w:t>ČESTNÉ PROHLÁŠENÍ DODAVATELE</w:t>
      </w:r>
      <w:r>
        <w:rPr>
          <w:b/>
          <w:bCs/>
        </w:rPr>
        <w:t xml:space="preserve"> O DODRŽENÍ PODMÍNEK ZÁKONA č. </w:t>
      </w:r>
      <w:r w:rsidRPr="00524E79">
        <w:rPr>
          <w:b/>
          <w:bCs/>
        </w:rPr>
        <w:t>69/2006 Sb., O</w:t>
      </w:r>
      <w:r>
        <w:rPr>
          <w:b/>
          <w:bCs/>
        </w:rPr>
        <w:t> </w:t>
      </w:r>
      <w:r w:rsidRPr="00524E79">
        <w:rPr>
          <w:b/>
          <w:bCs/>
        </w:rPr>
        <w:t>PROVÁDĚNÍ MEZINÁRODNÍCH SANKCÍ, VE ZNĚNÍ POZDĚJŠÍCH PŘEDPI</w:t>
      </w:r>
      <w:r>
        <w:rPr>
          <w:b/>
          <w:bCs/>
        </w:rPr>
        <w:t>S</w:t>
      </w:r>
      <w:r w:rsidRPr="00524E79">
        <w:rPr>
          <w:b/>
          <w:bCs/>
        </w:rPr>
        <w:t>Ů</w:t>
      </w:r>
    </w:p>
    <w:p w14:paraId="331DE972" w14:textId="77777777" w:rsidR="00221D5E" w:rsidRDefault="00221D5E" w:rsidP="00221D5E">
      <w:pPr>
        <w:pStyle w:val="Zkladntext"/>
        <w:spacing w:after="60" w:line="276" w:lineRule="auto"/>
        <w:rPr>
          <w:highlight w:val="green"/>
        </w:rPr>
      </w:pPr>
    </w:p>
    <w:p w14:paraId="1D918079" w14:textId="1AC66728" w:rsidR="00221D5E" w:rsidRPr="00060A54" w:rsidRDefault="00221D5E" w:rsidP="00221D5E">
      <w:pPr>
        <w:pStyle w:val="Zkladntext"/>
        <w:spacing w:line="276" w:lineRule="auto"/>
      </w:pPr>
      <w:bookmarkStart w:id="0" w:name="_Hlk115768922"/>
      <w:r w:rsidRPr="00060A54">
        <w:t xml:space="preserve">Společnost </w:t>
      </w:r>
      <w:r w:rsidR="004D32E7">
        <w:tab/>
      </w:r>
      <w:r w:rsidRPr="00060A54">
        <w:rPr>
          <w:highlight w:val="cyan"/>
        </w:rPr>
        <w:t>[bude doplněno]</w:t>
      </w:r>
    </w:p>
    <w:p w14:paraId="71FA756D" w14:textId="4870343C" w:rsidR="00221D5E" w:rsidRPr="00060A54" w:rsidRDefault="00221D5E" w:rsidP="00221D5E">
      <w:pPr>
        <w:pStyle w:val="Zkladntext"/>
        <w:spacing w:line="276" w:lineRule="auto"/>
      </w:pPr>
      <w:r w:rsidRPr="00060A54">
        <w:t xml:space="preserve">se sídlem: </w:t>
      </w:r>
      <w:r w:rsidR="004D32E7">
        <w:tab/>
      </w:r>
      <w:r w:rsidRPr="00A917B5">
        <w:rPr>
          <w:highlight w:val="cyan"/>
        </w:rPr>
        <w:t>[</w:t>
      </w:r>
      <w:r w:rsidRPr="00060A54">
        <w:rPr>
          <w:highlight w:val="cyan"/>
        </w:rPr>
        <w:t>bude doplněno</w:t>
      </w:r>
      <w:r w:rsidRPr="00A917B5">
        <w:rPr>
          <w:highlight w:val="cyan"/>
        </w:rPr>
        <w:t>]</w:t>
      </w:r>
    </w:p>
    <w:p w14:paraId="3077BDC6" w14:textId="3308078D" w:rsidR="00221D5E" w:rsidRPr="00060A54" w:rsidRDefault="00221D5E" w:rsidP="00221D5E">
      <w:pPr>
        <w:pStyle w:val="Zkladntext"/>
        <w:spacing w:line="276" w:lineRule="auto"/>
      </w:pPr>
      <w:r w:rsidRPr="00060A54">
        <w:t xml:space="preserve">IČO: </w:t>
      </w:r>
      <w:r w:rsidR="004D32E7">
        <w:tab/>
      </w:r>
      <w:r w:rsidR="004D32E7">
        <w:tab/>
      </w:r>
      <w:r w:rsidRPr="00A917B5">
        <w:rPr>
          <w:highlight w:val="cyan"/>
        </w:rPr>
        <w:t>[</w:t>
      </w:r>
      <w:r w:rsidRPr="00060A54">
        <w:rPr>
          <w:highlight w:val="cyan"/>
        </w:rPr>
        <w:t>bude doplněno</w:t>
      </w:r>
      <w:r w:rsidRPr="00A917B5">
        <w:rPr>
          <w:highlight w:val="cyan"/>
        </w:rPr>
        <w:t>]</w:t>
      </w:r>
    </w:p>
    <w:p w14:paraId="7CB83369" w14:textId="77777777" w:rsidR="00221D5E" w:rsidRPr="00060A54" w:rsidRDefault="00221D5E" w:rsidP="00221D5E">
      <w:pPr>
        <w:pStyle w:val="Zkladntext"/>
        <w:spacing w:line="276" w:lineRule="auto"/>
        <w:jc w:val="both"/>
      </w:pPr>
      <w:r w:rsidRPr="00060A54">
        <w:t xml:space="preserve">zapsaná v obchodním rejstříku vedeném </w:t>
      </w:r>
      <w:r w:rsidRPr="00A917B5">
        <w:rPr>
          <w:highlight w:val="cyan"/>
        </w:rPr>
        <w:t>[</w:t>
      </w:r>
      <w:r w:rsidRPr="00060A54">
        <w:rPr>
          <w:highlight w:val="cyan"/>
        </w:rPr>
        <w:t>bude doplněno</w:t>
      </w:r>
      <w:r w:rsidRPr="00A917B5">
        <w:rPr>
          <w:highlight w:val="cyan"/>
        </w:rPr>
        <w:t>]</w:t>
      </w:r>
      <w:r w:rsidRPr="00060A54">
        <w:t xml:space="preserve">, oddíl </w:t>
      </w:r>
      <w:r w:rsidRPr="00A917B5">
        <w:rPr>
          <w:highlight w:val="cyan"/>
        </w:rPr>
        <w:t>[</w:t>
      </w:r>
      <w:r w:rsidRPr="00060A54">
        <w:rPr>
          <w:highlight w:val="cyan"/>
        </w:rPr>
        <w:t>bude doplněno</w:t>
      </w:r>
      <w:r w:rsidRPr="00A917B5">
        <w:rPr>
          <w:highlight w:val="cyan"/>
        </w:rPr>
        <w:t>]</w:t>
      </w:r>
      <w:r w:rsidRPr="00060A54">
        <w:t xml:space="preserve">, vložka </w:t>
      </w:r>
      <w:r w:rsidRPr="00A917B5">
        <w:rPr>
          <w:highlight w:val="cyan"/>
        </w:rPr>
        <w:t>[</w:t>
      </w:r>
      <w:r w:rsidRPr="00060A54">
        <w:rPr>
          <w:highlight w:val="cyan"/>
        </w:rPr>
        <w:t>bude doplněno</w:t>
      </w:r>
      <w:r w:rsidRPr="00A917B5">
        <w:rPr>
          <w:highlight w:val="cyan"/>
        </w:rPr>
        <w:t>]</w:t>
      </w:r>
      <w:r w:rsidRPr="00A43F7E">
        <w:t xml:space="preserve"> </w:t>
      </w:r>
      <w:r w:rsidRPr="00060A54">
        <w:t>(dále jen „</w:t>
      </w:r>
      <w:r>
        <w:rPr>
          <w:u w:val="single"/>
        </w:rPr>
        <w:t>dodavatel</w:t>
      </w:r>
      <w:r w:rsidRPr="00060A54">
        <w:t>“)</w:t>
      </w:r>
      <w:r>
        <w:t>,</w:t>
      </w:r>
    </w:p>
    <w:p w14:paraId="41994538" w14:textId="7E5F4C34" w:rsidR="00221D5E" w:rsidRDefault="00221D5E" w:rsidP="00221D5E">
      <w:pPr>
        <w:pStyle w:val="Zkladntext"/>
        <w:spacing w:after="60" w:line="276" w:lineRule="auto"/>
        <w:jc w:val="both"/>
      </w:pPr>
      <w:r w:rsidRPr="00060A54">
        <w:t xml:space="preserve">jakožto </w:t>
      </w:r>
      <w:r w:rsidRPr="004D32E7">
        <w:t>účastník zadávacího řízení</w:t>
      </w:r>
      <w:r w:rsidRPr="00060A54">
        <w:t xml:space="preserve"> na veřejnou zakázku na </w:t>
      </w:r>
      <w:r w:rsidRPr="00A43F7E">
        <w:rPr>
          <w:highlight w:val="green"/>
        </w:rPr>
        <w:t>stavební práce</w:t>
      </w:r>
      <w:r>
        <w:t xml:space="preserve"> / </w:t>
      </w:r>
      <w:r w:rsidRPr="00A43F7E">
        <w:rPr>
          <w:highlight w:val="green"/>
        </w:rPr>
        <w:t>dodávky</w:t>
      </w:r>
      <w:r>
        <w:t xml:space="preserve"> / </w:t>
      </w:r>
      <w:r w:rsidRPr="00A43F7E">
        <w:rPr>
          <w:highlight w:val="green"/>
        </w:rPr>
        <w:t>služby</w:t>
      </w:r>
      <w:r w:rsidRPr="00A43F7E">
        <w:rPr>
          <w:bCs/>
          <w:highlight w:val="green"/>
        </w:rPr>
        <w:t xml:space="preserve">, </w:t>
      </w:r>
      <w:r w:rsidRPr="00A43F7E">
        <w:rPr>
          <w:highlight w:val="green"/>
        </w:rPr>
        <w:t>ev. č. dle Věstníku veřejných zakázek</w:t>
      </w:r>
      <w:r>
        <w:rPr>
          <w:highlight w:val="green"/>
        </w:rPr>
        <w:t xml:space="preserve"> / číslo zakázky</w:t>
      </w:r>
      <w:r w:rsidRPr="00A43F7E">
        <w:rPr>
          <w:highlight w:val="green"/>
        </w:rPr>
        <w:t xml:space="preserve"> </w:t>
      </w:r>
      <w:r w:rsidRPr="00060A54">
        <w:t>(dále jen „</w:t>
      </w:r>
      <w:r>
        <w:rPr>
          <w:u w:val="single"/>
        </w:rPr>
        <w:t>Zakázka</w:t>
      </w:r>
      <w:r w:rsidRPr="00060A54">
        <w:t>“)</w:t>
      </w:r>
    </w:p>
    <w:p w14:paraId="30015BC6" w14:textId="77777777" w:rsidR="00221D5E" w:rsidRDefault="00221D5E" w:rsidP="00221D5E">
      <w:pPr>
        <w:pStyle w:val="Zkladntext"/>
        <w:spacing w:after="60" w:line="276" w:lineRule="auto"/>
        <w:jc w:val="both"/>
      </w:pPr>
      <w:bookmarkStart w:id="1" w:name="_GoBack"/>
      <w:bookmarkEnd w:id="1"/>
    </w:p>
    <w:bookmarkEnd w:id="0"/>
    <w:p w14:paraId="3F2A7A05" w14:textId="77777777" w:rsidR="00221D5E" w:rsidRDefault="00221D5E" w:rsidP="00221D5E">
      <w:pPr>
        <w:pStyle w:val="Zkladntext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čestně prohlašuje, že dodavatel ani žádný z jeho poddodavatelů, kteří se budou podílet na </w:t>
      </w:r>
      <w:r>
        <w:rPr>
          <w:rFonts w:cs="Arial"/>
          <w:szCs w:val="22"/>
          <w:lang w:eastAsia="cs-CZ"/>
        </w:rPr>
        <w:t>plnění Zakázky z více než 10 % hodnoty této Zakázky</w:t>
      </w:r>
      <w:r>
        <w:rPr>
          <w:rFonts w:cs="Arial"/>
        </w:rPr>
        <w:t xml:space="preserve">, nejsme osobami uvedenými </w:t>
      </w:r>
      <w:r w:rsidRPr="00724997">
        <w:rPr>
          <w:rFonts w:cs="Arial"/>
        </w:rPr>
        <w:t xml:space="preserve">v čl. 5k </w:t>
      </w:r>
      <w:r>
        <w:rPr>
          <w:rFonts w:cs="Arial"/>
        </w:rPr>
        <w:t>n</w:t>
      </w:r>
      <w:r w:rsidRPr="00724997">
        <w:rPr>
          <w:rFonts w:cs="Arial"/>
        </w:rPr>
        <w:t>ařízení Rady (EU) č. 833/2014 ze dne 31. červ</w:t>
      </w:r>
      <w:r>
        <w:rPr>
          <w:rFonts w:cs="Arial"/>
        </w:rPr>
        <w:t>ence</w:t>
      </w:r>
      <w:r w:rsidRPr="00724997">
        <w:rPr>
          <w:rFonts w:cs="Arial"/>
        </w:rPr>
        <w:t xml:space="preserve"> 2014, o omezujících opatřeních vzhledem k činnostem Ruska destabilizujícím situaci na Ukrajině, ve znění nařízení Rady (EU) č. 2022/578 ze dne 4. dubna 2022. </w:t>
      </w:r>
    </w:p>
    <w:p w14:paraId="5B97E968" w14:textId="77777777" w:rsidR="00221D5E" w:rsidRDefault="00221D5E" w:rsidP="00221D5E">
      <w:pPr>
        <w:pStyle w:val="Zkladntext"/>
        <w:spacing w:line="276" w:lineRule="auto"/>
        <w:jc w:val="both"/>
        <w:rPr>
          <w:rFonts w:cs="Arial"/>
        </w:rPr>
      </w:pPr>
      <w:r w:rsidRPr="00724997">
        <w:rPr>
          <w:rFonts w:cs="Arial"/>
        </w:rPr>
        <w:t>Zejména prohlašuj</w:t>
      </w:r>
      <w:r>
        <w:rPr>
          <w:rFonts w:cs="Arial"/>
        </w:rPr>
        <w:t>e</w:t>
      </w:r>
      <w:r w:rsidRPr="00724997">
        <w:rPr>
          <w:rFonts w:cs="Arial"/>
        </w:rPr>
        <w:t>, že</w:t>
      </w:r>
    </w:p>
    <w:p w14:paraId="6DE22195" w14:textId="77777777" w:rsidR="00221D5E" w:rsidRPr="00724997" w:rsidRDefault="00221D5E" w:rsidP="00221D5E">
      <w:pPr>
        <w:pStyle w:val="Zkladntext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</w:rPr>
      </w:pPr>
      <w:r w:rsidRPr="00724997">
        <w:rPr>
          <w:rFonts w:cs="Arial"/>
        </w:rPr>
        <w:t>dodavatel není ruským státním příslušníkem, fyzickou či právnickou osobou nebo subjektem či orgánem se sídlem v Rusku,</w:t>
      </w:r>
    </w:p>
    <w:p w14:paraId="172F3310" w14:textId="77777777" w:rsidR="00221D5E" w:rsidRPr="00724997" w:rsidRDefault="00221D5E" w:rsidP="00221D5E">
      <w:pPr>
        <w:pStyle w:val="Zkladntext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dodavatel </w:t>
      </w:r>
      <w:r w:rsidRPr="00724997">
        <w:rPr>
          <w:rFonts w:cs="Arial"/>
        </w:rPr>
        <w:t>není z více než 50 % přímo či nepřímo vlastněn jakýmkoli ruským státním příslušníkem nebo fyzickou či právnickou osobou nebo subjektem či orgánem se sídlem v Rusku</w:t>
      </w:r>
      <w:r w:rsidRPr="00724997">
        <w:rPr>
          <w:rFonts w:cs="Arial"/>
          <w:vertAlign w:val="superscript"/>
        </w:rPr>
        <w:footnoteReference w:id="1"/>
      </w:r>
      <w:r w:rsidRPr="00724997">
        <w:rPr>
          <w:rFonts w:cs="Arial"/>
        </w:rPr>
        <w:t>,</w:t>
      </w:r>
    </w:p>
    <w:p w14:paraId="008B123D" w14:textId="77777777" w:rsidR="00221D5E" w:rsidRDefault="00221D5E" w:rsidP="00221D5E">
      <w:pPr>
        <w:pStyle w:val="Zkladntext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dodavatel </w:t>
      </w:r>
      <w:r w:rsidRPr="00724997">
        <w:rPr>
          <w:rFonts w:cs="Arial"/>
        </w:rPr>
        <w:t>nejedná jménem nebo na pokyn jakéhokoli ruského státního příslušníka nebo fyzické či právnické osoby nebo subjektu či orgánu se sídlem v Rusku,</w:t>
      </w:r>
    </w:p>
    <w:p w14:paraId="72475738" w14:textId="77777777" w:rsidR="00221D5E" w:rsidRPr="00724997" w:rsidRDefault="00221D5E" w:rsidP="00221D5E">
      <w:pPr>
        <w:pStyle w:val="Zkladntext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</w:rPr>
      </w:pPr>
      <w:r w:rsidRPr="00724997">
        <w:rPr>
          <w:rFonts w:cs="Arial"/>
        </w:rPr>
        <w:t xml:space="preserve">žádný z poddodavatelů, </w:t>
      </w:r>
      <w:r>
        <w:rPr>
          <w:rFonts w:cs="Arial"/>
        </w:rPr>
        <w:t xml:space="preserve">kteří se budou podílet na </w:t>
      </w:r>
      <w:r>
        <w:rPr>
          <w:rFonts w:cs="Arial"/>
          <w:szCs w:val="22"/>
          <w:lang w:eastAsia="cs-CZ"/>
        </w:rPr>
        <w:t>plnění Zakázky z více než 10 % hodnoty této Zakázky</w:t>
      </w:r>
      <w:r w:rsidRPr="00724997">
        <w:rPr>
          <w:rFonts w:cs="Arial"/>
        </w:rPr>
        <w:t>, není ruským státním příslušníkem, fyzickou či právnickou osobou nebo subjektu či orgánem se sídlem v Rusku,</w:t>
      </w:r>
    </w:p>
    <w:p w14:paraId="35E9EDDD" w14:textId="77777777" w:rsidR="00221D5E" w:rsidRPr="00724997" w:rsidRDefault="00221D5E" w:rsidP="00221D5E">
      <w:pPr>
        <w:pStyle w:val="Zkladntext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</w:rPr>
      </w:pPr>
      <w:r w:rsidRPr="00724997">
        <w:rPr>
          <w:rFonts w:cs="Arial"/>
        </w:rPr>
        <w:lastRenderedPageBreak/>
        <w:t xml:space="preserve">žádný z poddodavatelů, </w:t>
      </w:r>
      <w:r>
        <w:rPr>
          <w:rFonts w:cs="Arial"/>
        </w:rPr>
        <w:t xml:space="preserve">kteří se budou podílet na </w:t>
      </w:r>
      <w:r>
        <w:rPr>
          <w:rFonts w:cs="Arial"/>
          <w:szCs w:val="22"/>
          <w:lang w:eastAsia="cs-CZ"/>
        </w:rPr>
        <w:t>plnění Zakázky z více než 10 % hodnoty této Zakázky</w:t>
      </w:r>
      <w:r w:rsidRPr="00724997">
        <w:rPr>
          <w:rFonts w:cs="Arial"/>
        </w:rPr>
        <w:t>, není z více než 50 % přímo či nepřímo vlastněn jakýmkoli ruským státním příslušníkem nebo fyzickou či právnickou osobou nebo subjektem či orgánem se sídlem v Rusku</w:t>
      </w:r>
      <w:r w:rsidRPr="00724997">
        <w:rPr>
          <w:rFonts w:cs="Arial"/>
          <w:vertAlign w:val="superscript"/>
        </w:rPr>
        <w:footnoteReference w:id="2"/>
      </w:r>
      <w:r w:rsidRPr="00724997">
        <w:rPr>
          <w:rFonts w:cs="Arial"/>
        </w:rPr>
        <w:t>,</w:t>
      </w:r>
    </w:p>
    <w:p w14:paraId="2A807B8E" w14:textId="77777777" w:rsidR="00221D5E" w:rsidRPr="00724997" w:rsidRDefault="00221D5E" w:rsidP="00221D5E">
      <w:pPr>
        <w:pStyle w:val="Zkladntext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</w:rPr>
      </w:pPr>
      <w:r w:rsidRPr="00724997">
        <w:rPr>
          <w:rFonts w:cs="Arial"/>
        </w:rPr>
        <w:t xml:space="preserve">žádný z poddodavatelů, </w:t>
      </w:r>
      <w:r>
        <w:rPr>
          <w:rFonts w:cs="Arial"/>
        </w:rPr>
        <w:t xml:space="preserve">kteří se budou podílet na </w:t>
      </w:r>
      <w:r>
        <w:rPr>
          <w:rFonts w:cs="Arial"/>
          <w:szCs w:val="22"/>
          <w:lang w:eastAsia="cs-CZ"/>
        </w:rPr>
        <w:t>plnění Zakázky z více než 10 % hodnoty této Zakázky</w:t>
      </w:r>
      <w:r>
        <w:rPr>
          <w:rFonts w:cs="Arial"/>
        </w:rPr>
        <w:t xml:space="preserve">, </w:t>
      </w:r>
      <w:r w:rsidRPr="00724997">
        <w:rPr>
          <w:rFonts w:cs="Arial"/>
        </w:rPr>
        <w:t>nejedná jménem nebo na pokyn jakéhokoli ruského státního příslušníka nebo fyzické či právnické osoby nebo subjektu či orgánu se sídlem v Rusku.</w:t>
      </w:r>
    </w:p>
    <w:p w14:paraId="1E10C689" w14:textId="77777777" w:rsidR="00221D5E" w:rsidRPr="00724997" w:rsidRDefault="00221D5E" w:rsidP="00221D5E">
      <w:pPr>
        <w:pStyle w:val="Zkladntext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Dodavatel bere na vědomí, že výše uvedená omezení se týkají celého poddodavatelského řetězce. To zejména znamená, že dodavatel je povinen zavázat k dodržování výše uvedených omezení své dodavatele, kteří se budou podílet na </w:t>
      </w:r>
      <w:r>
        <w:rPr>
          <w:rFonts w:cs="Arial"/>
          <w:szCs w:val="22"/>
          <w:lang w:eastAsia="cs-CZ"/>
        </w:rPr>
        <w:t xml:space="preserve">plnění Zakázky z více než 10 % hodnoty této Zakázky, </w:t>
      </w:r>
      <w:r>
        <w:rPr>
          <w:rFonts w:cs="Arial"/>
        </w:rPr>
        <w:t>ve stejném rozsahu, jako je zavázán sám. Dodavatel bude povinen zadavateli kdykoli v průběhu plnění smlouvy na jeho písemnou výzvu předložit identifikační údaje všech poddodavatelů,</w:t>
      </w:r>
      <w:r w:rsidRPr="00C03E7B">
        <w:rPr>
          <w:rFonts w:cs="Arial"/>
        </w:rPr>
        <w:t xml:space="preserve"> </w:t>
      </w:r>
      <w:r>
        <w:rPr>
          <w:rFonts w:cs="Arial"/>
        </w:rPr>
        <w:t xml:space="preserve">kteří se budou podílet na </w:t>
      </w:r>
      <w:r>
        <w:rPr>
          <w:rFonts w:cs="Arial"/>
          <w:szCs w:val="22"/>
          <w:lang w:eastAsia="cs-CZ"/>
        </w:rPr>
        <w:t>plnění Zakázky z více než 10 % hodnoty této Zakázky,</w:t>
      </w:r>
      <w:r>
        <w:rPr>
          <w:rFonts w:cs="Arial"/>
        </w:rPr>
        <w:t xml:space="preserve"> v jakémkoli stupni poddodavatelského řetězce včetně uvedení, jakou část smlouvy plní a v jakém finančním objemu, včetně jejich prohlášení týkajícího se dodržování výše uvedených omezení. </w:t>
      </w:r>
    </w:p>
    <w:p w14:paraId="049D4858" w14:textId="77777777" w:rsidR="00221D5E" w:rsidRPr="000827AF" w:rsidRDefault="00221D5E" w:rsidP="00221D5E">
      <w:pPr>
        <w:pStyle w:val="Zkladntext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Dodavatel dále čestně prohlašuje, že </w:t>
      </w:r>
      <w:r w:rsidRPr="000827AF">
        <w:rPr>
          <w:rFonts w:cs="Arial"/>
        </w:rPr>
        <w:t xml:space="preserve">žádné finanční prostředky, které obdrží za plnění </w:t>
      </w:r>
      <w:r>
        <w:rPr>
          <w:rFonts w:cs="Arial"/>
        </w:rPr>
        <w:t>této Zakázky,</w:t>
      </w:r>
      <w:r w:rsidRPr="000827AF">
        <w:rPr>
          <w:rFonts w:cs="Arial"/>
        </w:rPr>
        <w:t xml:space="preserve"> nepoužije v rozporu s mezinárodními sankcemi uvedenými v § 2 zákona č. 69/2006</w:t>
      </w:r>
      <w:r>
        <w:rPr>
          <w:rFonts w:cs="Arial"/>
        </w:rPr>
        <w:t> </w:t>
      </w:r>
      <w:r w:rsidRPr="000827AF">
        <w:rPr>
          <w:rFonts w:cs="Arial"/>
        </w:rPr>
        <w:t>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0827AF">
        <w:rPr>
          <w:rStyle w:val="Znakapoznpodarou"/>
          <w:rFonts w:cs="Arial"/>
        </w:rPr>
        <w:footnoteReference w:id="3"/>
      </w:r>
      <w:r w:rsidRPr="000827AF">
        <w:rPr>
          <w:rFonts w:cs="Arial"/>
        </w:rPr>
        <w:t xml:space="preserve"> v souvislosti s konfliktem na Ukrajině nebo v jejich prospěch.</w:t>
      </w:r>
    </w:p>
    <w:p w14:paraId="41D41AF7" w14:textId="77777777" w:rsidR="00221D5E" w:rsidRPr="000827AF" w:rsidRDefault="00221D5E" w:rsidP="00221D5E">
      <w:pPr>
        <w:pStyle w:val="Zkladntext"/>
        <w:spacing w:line="276" w:lineRule="auto"/>
        <w:jc w:val="both"/>
        <w:rPr>
          <w:rFonts w:cs="Arial"/>
        </w:rPr>
      </w:pPr>
      <w:r>
        <w:rPr>
          <w:rFonts w:cs="Arial"/>
        </w:rPr>
        <w:t>Dále č</w:t>
      </w:r>
      <w:r w:rsidRPr="000827AF">
        <w:rPr>
          <w:rFonts w:cs="Arial"/>
        </w:rPr>
        <w:t>estně prohlašuj</w:t>
      </w:r>
      <w:r>
        <w:rPr>
          <w:rFonts w:cs="Arial"/>
        </w:rPr>
        <w:t>e</w:t>
      </w:r>
      <w:r w:rsidRPr="000827AF">
        <w:rPr>
          <w:rFonts w:cs="Arial"/>
        </w:rPr>
        <w:t xml:space="preserve">, že jakoukoli změnu skutečností, která bude mít vliv na obsah tohoto čestného prohlášení, </w:t>
      </w:r>
      <w:r>
        <w:rPr>
          <w:rFonts w:cs="Arial"/>
        </w:rPr>
        <w:t>účastník</w:t>
      </w:r>
      <w:r w:rsidRPr="000827AF">
        <w:rPr>
          <w:rFonts w:cs="Arial"/>
        </w:rPr>
        <w:t xml:space="preserve"> oznámí písemně zadavateli do 5 pracovních dnů od okamžiku, kdy se o této skutečnosti dozví.</w:t>
      </w:r>
    </w:p>
    <w:p w14:paraId="011B45FC" w14:textId="77777777" w:rsidR="00221D5E" w:rsidRPr="00E806DE" w:rsidRDefault="00221D5E" w:rsidP="00221D5E">
      <w:pPr>
        <w:rPr>
          <w:rFonts w:ascii="Segoe UI" w:hAnsi="Segoe UI" w:cs="Segoe UI"/>
        </w:rPr>
      </w:pPr>
    </w:p>
    <w:p w14:paraId="0E587645" w14:textId="77777777" w:rsidR="00221D5E" w:rsidRDefault="00221D5E" w:rsidP="00221D5E">
      <w:pPr>
        <w:pStyle w:val="Zkladntext"/>
        <w:spacing w:after="60" w:line="276" w:lineRule="auto"/>
      </w:pPr>
    </w:p>
    <w:p w14:paraId="72BDDE80" w14:textId="77777777" w:rsidR="00221D5E" w:rsidRPr="000827AF" w:rsidRDefault="00221D5E" w:rsidP="00221D5E"/>
    <w:p w14:paraId="790DCAFF" w14:textId="77777777" w:rsidR="00DA41EA" w:rsidRDefault="00DA41EA" w:rsidP="00323D4C">
      <w:pPr>
        <w:pStyle w:val="Standard"/>
        <w:tabs>
          <w:tab w:val="left" w:pos="5460"/>
        </w:tabs>
        <w:rPr>
          <w:rFonts w:ascii="Arial" w:hAnsi="Arial" w:cs="Arial"/>
          <w:b/>
          <w:bCs/>
          <w:iCs/>
          <w:sz w:val="24"/>
          <w:szCs w:val="24"/>
        </w:rPr>
      </w:pPr>
    </w:p>
    <w:sectPr w:rsidR="00DA41EA" w:rsidSect="00FD78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E3433" w14:textId="77777777" w:rsidR="00DA60EE" w:rsidRDefault="00DA60EE" w:rsidP="00211C49">
      <w:pPr>
        <w:spacing w:after="0" w:line="240" w:lineRule="auto"/>
      </w:pPr>
      <w:r>
        <w:separator/>
      </w:r>
    </w:p>
  </w:endnote>
  <w:endnote w:type="continuationSeparator" w:id="0">
    <w:p w14:paraId="350559AD" w14:textId="77777777" w:rsidR="00DA60EE" w:rsidRDefault="00DA60EE" w:rsidP="0021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5160" w14:textId="77777777" w:rsidR="00221D5E" w:rsidRDefault="00221D5E" w:rsidP="00CA408E">
    <w:pPr>
      <w:pStyle w:val="Zpat1"/>
      <w:tabs>
        <w:tab w:val="clear" w:pos="4536"/>
        <w:tab w:val="clear" w:pos="9072"/>
        <w:tab w:val="left" w:pos="7140"/>
      </w:tabs>
      <w:rPr>
        <w:i/>
        <w:iCs/>
        <w:color w:val="002060"/>
        <w:sz w:val="16"/>
        <w:szCs w:val="16"/>
      </w:rPr>
    </w:pPr>
    <w:r>
      <w:rPr>
        <w:i/>
        <w:iCs/>
        <w:color w:val="002060"/>
        <w:sz w:val="16"/>
        <w:szCs w:val="16"/>
      </w:rPr>
      <w:t xml:space="preserve">Krajská správa a údržba silnic SK, </w:t>
    </w:r>
    <w:proofErr w:type="spellStart"/>
    <w:r>
      <w:rPr>
        <w:i/>
        <w:iCs/>
        <w:color w:val="002060"/>
        <w:sz w:val="16"/>
        <w:szCs w:val="16"/>
      </w:rPr>
      <w:t>p.o</w:t>
    </w:r>
    <w:proofErr w:type="spellEnd"/>
    <w:r>
      <w:rPr>
        <w:i/>
        <w:iCs/>
        <w:color w:val="002060"/>
        <w:sz w:val="16"/>
        <w:szCs w:val="16"/>
      </w:rPr>
      <w:t>.</w:t>
    </w:r>
    <w:r w:rsidR="00CA408E">
      <w:rPr>
        <w:i/>
        <w:iCs/>
        <w:color w:val="002060"/>
        <w:sz w:val="16"/>
        <w:szCs w:val="16"/>
      </w:rPr>
      <w:tab/>
    </w:r>
    <w:r w:rsidR="00CA408E" w:rsidRPr="00221D5E">
      <w:rPr>
        <w:i/>
        <w:iCs/>
        <w:color w:val="002060"/>
        <w:sz w:val="16"/>
        <w:szCs w:val="16"/>
      </w:rPr>
      <w:t>Bank. spoj.:  7730161/0100</w:t>
    </w:r>
  </w:p>
  <w:p w14:paraId="0E0685AD" w14:textId="77777777" w:rsidR="00221D5E" w:rsidRDefault="00221D5E" w:rsidP="00CA408E">
    <w:pPr>
      <w:pStyle w:val="Zpat1"/>
      <w:tabs>
        <w:tab w:val="clear" w:pos="4536"/>
        <w:tab w:val="clear" w:pos="9072"/>
        <w:tab w:val="left" w:pos="7140"/>
      </w:tabs>
      <w:rPr>
        <w:i/>
        <w:iCs/>
        <w:color w:val="002060"/>
        <w:sz w:val="16"/>
        <w:szCs w:val="16"/>
      </w:rPr>
    </w:pPr>
    <w:r>
      <w:rPr>
        <w:i/>
        <w:iCs/>
        <w:color w:val="002060"/>
        <w:sz w:val="16"/>
        <w:szCs w:val="16"/>
      </w:rPr>
      <w:t>Zborovská 11</w:t>
    </w:r>
    <w:r w:rsidR="00CA408E">
      <w:rPr>
        <w:i/>
        <w:iCs/>
        <w:color w:val="002060"/>
        <w:sz w:val="16"/>
        <w:szCs w:val="16"/>
      </w:rPr>
      <w:tab/>
      <w:t>IČ: 00066001</w:t>
    </w:r>
  </w:p>
  <w:p w14:paraId="2B43015C" w14:textId="77777777" w:rsidR="00211C49" w:rsidRPr="00221D5E" w:rsidRDefault="00221D5E" w:rsidP="00211C49">
    <w:pPr>
      <w:pStyle w:val="Zpat1"/>
      <w:tabs>
        <w:tab w:val="clear" w:pos="4536"/>
        <w:tab w:val="clear" w:pos="9072"/>
        <w:tab w:val="left" w:pos="3402"/>
        <w:tab w:val="left" w:pos="6804"/>
      </w:tabs>
      <w:rPr>
        <w:i/>
        <w:color w:val="002060"/>
      </w:rPr>
    </w:pPr>
    <w:r>
      <w:rPr>
        <w:i/>
        <w:iCs/>
        <w:color w:val="002060"/>
        <w:sz w:val="16"/>
        <w:szCs w:val="16"/>
      </w:rPr>
      <w:t xml:space="preserve">150 </w:t>
    </w:r>
    <w:r w:rsidR="00CA408E">
      <w:rPr>
        <w:i/>
        <w:iCs/>
        <w:color w:val="002060"/>
        <w:sz w:val="16"/>
        <w:szCs w:val="16"/>
      </w:rPr>
      <w:t xml:space="preserve"> 21 Praha 5                                                                             </w:t>
    </w:r>
    <w:r w:rsidR="00211C49" w:rsidRPr="00221D5E">
      <w:rPr>
        <w:i/>
        <w:iCs/>
        <w:color w:val="002060"/>
        <w:sz w:val="16"/>
        <w:szCs w:val="16"/>
      </w:rPr>
      <w:tab/>
      <w:t xml:space="preserve">        </w:t>
    </w:r>
    <w:r w:rsidR="00CA408E">
      <w:rPr>
        <w:i/>
        <w:iCs/>
        <w:color w:val="002060"/>
        <w:sz w:val="16"/>
        <w:szCs w:val="16"/>
      </w:rPr>
      <w:t>DIČ: CZ00066001</w:t>
    </w:r>
    <w:r w:rsidR="00211C49" w:rsidRPr="00221D5E">
      <w:rPr>
        <w:i/>
        <w:iCs/>
        <w:color w:val="002060"/>
        <w:sz w:val="16"/>
        <w:szCs w:val="16"/>
      </w:rPr>
      <w:t xml:space="preserve">                                                                            </w:t>
    </w:r>
  </w:p>
  <w:p w14:paraId="4497F326" w14:textId="77777777" w:rsidR="00221D5E" w:rsidRDefault="00221D5E" w:rsidP="00221D5E">
    <w:pPr>
      <w:pStyle w:val="Zpat1"/>
      <w:tabs>
        <w:tab w:val="clear" w:pos="4536"/>
        <w:tab w:val="clear" w:pos="9072"/>
        <w:tab w:val="left" w:pos="6804"/>
      </w:tabs>
      <w:rPr>
        <w:i/>
        <w:iCs/>
        <w:color w:val="002060"/>
        <w:sz w:val="16"/>
        <w:szCs w:val="16"/>
      </w:rPr>
    </w:pPr>
    <w:r>
      <w:rPr>
        <w:i/>
        <w:iCs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</w:t>
    </w:r>
    <w:r>
      <w:rPr>
        <w:i/>
        <w:iCs/>
        <w:color w:val="002060"/>
        <w:sz w:val="16"/>
        <w:szCs w:val="16"/>
      </w:rPr>
      <w:tab/>
    </w:r>
    <w:r w:rsidR="00CA408E">
      <w:rPr>
        <w:i/>
        <w:iCs/>
        <w:color w:val="002060"/>
        <w:sz w:val="16"/>
        <w:szCs w:val="16"/>
      </w:rPr>
      <w:t xml:space="preserve">        ID: a6ejgmx</w:t>
    </w:r>
  </w:p>
  <w:p w14:paraId="1457D2A6" w14:textId="77777777" w:rsidR="00221D5E" w:rsidRDefault="00221D5E" w:rsidP="00221D5E">
    <w:pPr>
      <w:pStyle w:val="Zpat1"/>
      <w:tabs>
        <w:tab w:val="clear" w:pos="4536"/>
        <w:tab w:val="clear" w:pos="9072"/>
        <w:tab w:val="left" w:pos="6804"/>
      </w:tabs>
      <w:rPr>
        <w:i/>
        <w:iCs/>
        <w:color w:val="002060"/>
        <w:sz w:val="16"/>
        <w:szCs w:val="16"/>
      </w:rPr>
    </w:pPr>
    <w:r>
      <w:rPr>
        <w:i/>
        <w:iCs/>
        <w:color w:val="002060"/>
        <w:sz w:val="16"/>
        <w:szCs w:val="16"/>
      </w:rPr>
      <w:tab/>
    </w:r>
  </w:p>
  <w:p w14:paraId="0838D59E" w14:textId="77777777" w:rsidR="00221D5E" w:rsidRPr="00221D5E" w:rsidRDefault="00221D5E" w:rsidP="00285310">
    <w:pPr>
      <w:pStyle w:val="Zpat1"/>
      <w:tabs>
        <w:tab w:val="clear" w:pos="4536"/>
        <w:tab w:val="clear" w:pos="9072"/>
        <w:tab w:val="left" w:pos="3402"/>
        <w:tab w:val="left" w:pos="6804"/>
      </w:tabs>
      <w:rPr>
        <w:i/>
        <w:iCs/>
        <w:color w:val="002060"/>
        <w:sz w:val="16"/>
        <w:szCs w:val="16"/>
      </w:rPr>
    </w:pPr>
  </w:p>
  <w:p w14:paraId="0767C16E" w14:textId="77777777" w:rsidR="00221D5E" w:rsidRDefault="00211C49" w:rsidP="00285310">
    <w:pPr>
      <w:pStyle w:val="Zpat1"/>
      <w:tabs>
        <w:tab w:val="clear" w:pos="4536"/>
        <w:tab w:val="clear" w:pos="9072"/>
        <w:tab w:val="left" w:pos="3402"/>
        <w:tab w:val="left" w:pos="6804"/>
      </w:tabs>
      <w:rPr>
        <w:i/>
        <w:iCs/>
        <w:color w:val="000080"/>
        <w:sz w:val="16"/>
        <w:szCs w:val="16"/>
      </w:rPr>
    </w:pPr>
    <w:r w:rsidRPr="00221D5E">
      <w:rPr>
        <w:i/>
        <w:iCs/>
        <w:color w:val="000080"/>
        <w:sz w:val="16"/>
        <w:szCs w:val="16"/>
      </w:rPr>
      <w:tab/>
    </w:r>
  </w:p>
  <w:p w14:paraId="327440D3" w14:textId="77777777" w:rsidR="00285310" w:rsidRPr="00221D5E" w:rsidRDefault="00211C49" w:rsidP="00285310">
    <w:pPr>
      <w:pStyle w:val="Zpat1"/>
      <w:tabs>
        <w:tab w:val="clear" w:pos="4536"/>
        <w:tab w:val="clear" w:pos="9072"/>
        <w:tab w:val="left" w:pos="3402"/>
        <w:tab w:val="left" w:pos="6804"/>
      </w:tabs>
      <w:rPr>
        <w:i/>
        <w:color w:val="002060"/>
        <w:sz w:val="16"/>
        <w:szCs w:val="16"/>
        <w:shd w:val="clear" w:color="auto" w:fill="FFFFFF"/>
      </w:rPr>
    </w:pPr>
    <w:r w:rsidRPr="00221D5E">
      <w:rPr>
        <w:i/>
        <w:iCs/>
        <w:color w:val="000080"/>
        <w:sz w:val="16"/>
        <w:szCs w:val="16"/>
      </w:rPr>
      <w:t xml:space="preserve">                                                                                                                           </w:t>
    </w:r>
    <w:r w:rsidRPr="00221D5E">
      <w:rPr>
        <w:i/>
        <w:iCs/>
        <w:color w:val="000080"/>
        <w:sz w:val="16"/>
        <w:szCs w:val="16"/>
      </w:rPr>
      <w:tab/>
    </w:r>
    <w:r w:rsidRPr="00221D5E">
      <w:rPr>
        <w:i/>
        <w:iCs/>
        <w:color w:val="000080"/>
        <w:sz w:val="16"/>
        <w:szCs w:val="16"/>
      </w:rPr>
      <w:tab/>
    </w:r>
  </w:p>
  <w:p w14:paraId="30E7AA68" w14:textId="77777777" w:rsidR="00211C49" w:rsidRDefault="00211C49" w:rsidP="00211C49">
    <w:pPr>
      <w:pStyle w:val="Zpat1"/>
      <w:tabs>
        <w:tab w:val="clear" w:pos="4536"/>
        <w:tab w:val="clear" w:pos="9072"/>
        <w:tab w:val="left" w:pos="3402"/>
        <w:tab w:val="left" w:pos="6804"/>
      </w:tabs>
    </w:pPr>
    <w:r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123C2" w14:textId="77777777" w:rsidR="00DA60EE" w:rsidRDefault="00DA60EE" w:rsidP="00211C49">
      <w:pPr>
        <w:spacing w:after="0" w:line="240" w:lineRule="auto"/>
      </w:pPr>
      <w:r>
        <w:separator/>
      </w:r>
    </w:p>
  </w:footnote>
  <w:footnote w:type="continuationSeparator" w:id="0">
    <w:p w14:paraId="6F45AA5B" w14:textId="77777777" w:rsidR="00DA60EE" w:rsidRDefault="00DA60EE" w:rsidP="00211C49">
      <w:pPr>
        <w:spacing w:after="0" w:line="240" w:lineRule="auto"/>
      </w:pPr>
      <w:r>
        <w:continuationSeparator/>
      </w:r>
    </w:p>
  </w:footnote>
  <w:footnote w:id="1">
    <w:p w14:paraId="5EA55FF0" w14:textId="77777777" w:rsidR="00221D5E" w:rsidRDefault="00221D5E" w:rsidP="00221D5E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095E7633" w14:textId="77777777" w:rsidR="00CA408E" w:rsidRPr="00C41716" w:rsidRDefault="00CA408E" w:rsidP="00221D5E">
      <w:pPr>
        <w:pStyle w:val="Textpoznpodarou"/>
        <w:ind w:left="142" w:hanging="142"/>
        <w:jc w:val="both"/>
        <w:rPr>
          <w:lang w:val="cs-CZ"/>
        </w:rPr>
      </w:pPr>
    </w:p>
  </w:footnote>
  <w:footnote w:id="2">
    <w:p w14:paraId="07E9273F" w14:textId="77777777" w:rsidR="00221D5E" w:rsidRPr="00AF2807" w:rsidRDefault="00221D5E" w:rsidP="00221D5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DTTO</w:t>
      </w:r>
    </w:p>
  </w:footnote>
  <w:footnote w:id="3">
    <w:p w14:paraId="16934F84" w14:textId="77777777" w:rsidR="00221D5E" w:rsidRDefault="00221D5E" w:rsidP="00221D5E">
      <w:pPr>
        <w:pStyle w:val="Textpoznpodarou"/>
        <w:ind w:left="142" w:hanging="142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Zejména, ale nikoli výlučně, v přílohách nařízení Rady (EU) č. 269/2014 ze dne 17. března 2014 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Ukrajině, resp. ve vnitrostátním sankčním seznamu vydaném podle zákona č. 69/2006 Sb., o provádění mezinárodních sankcí, ve znění pozdějších předpisů ; </w:t>
      </w:r>
      <w:r w:rsidRPr="000827AF">
        <w:t xml:space="preserve">aktuální seznam sankcionovaných osob je uveden na </w:t>
      </w:r>
      <w:hyperlink r:id="rId1" w:history="1">
        <w:r w:rsidRPr="00B250B5">
          <w:rPr>
            <w:rStyle w:val="Hypertextovodkaz"/>
          </w:rPr>
          <w:t>https://www.financnianalytickyurad.cz/files/20220412-ukr-blr.xlsx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0451"/>
    <w:multiLevelType w:val="hybridMultilevel"/>
    <w:tmpl w:val="78DE6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49"/>
    <w:rsid w:val="00026D87"/>
    <w:rsid w:val="00081C40"/>
    <w:rsid w:val="000854D6"/>
    <w:rsid w:val="000A38A4"/>
    <w:rsid w:val="000A4BBB"/>
    <w:rsid w:val="000C6817"/>
    <w:rsid w:val="000E2C98"/>
    <w:rsid w:val="00125023"/>
    <w:rsid w:val="0016378A"/>
    <w:rsid w:val="0018605B"/>
    <w:rsid w:val="00193A5D"/>
    <w:rsid w:val="001C452C"/>
    <w:rsid w:val="0021022F"/>
    <w:rsid w:val="00211C49"/>
    <w:rsid w:val="00221D5E"/>
    <w:rsid w:val="002221FA"/>
    <w:rsid w:val="00226355"/>
    <w:rsid w:val="00285310"/>
    <w:rsid w:val="00297A48"/>
    <w:rsid w:val="002D1AC4"/>
    <w:rsid w:val="003117FC"/>
    <w:rsid w:val="00323D4C"/>
    <w:rsid w:val="003A200D"/>
    <w:rsid w:val="003D647C"/>
    <w:rsid w:val="00421897"/>
    <w:rsid w:val="0046010A"/>
    <w:rsid w:val="0047754F"/>
    <w:rsid w:val="004C3BE6"/>
    <w:rsid w:val="004D32E7"/>
    <w:rsid w:val="004F66EE"/>
    <w:rsid w:val="00520D26"/>
    <w:rsid w:val="0052523E"/>
    <w:rsid w:val="00592747"/>
    <w:rsid w:val="007215A9"/>
    <w:rsid w:val="007A7817"/>
    <w:rsid w:val="007D5DC9"/>
    <w:rsid w:val="008232BF"/>
    <w:rsid w:val="00836F2F"/>
    <w:rsid w:val="008430E3"/>
    <w:rsid w:val="00884F59"/>
    <w:rsid w:val="0093378D"/>
    <w:rsid w:val="00950C1D"/>
    <w:rsid w:val="009A6FD4"/>
    <w:rsid w:val="00A56FE0"/>
    <w:rsid w:val="00A619DE"/>
    <w:rsid w:val="00A96E7C"/>
    <w:rsid w:val="00AC5670"/>
    <w:rsid w:val="00B04613"/>
    <w:rsid w:val="00B23BA4"/>
    <w:rsid w:val="00B37017"/>
    <w:rsid w:val="00B52CD8"/>
    <w:rsid w:val="00B8499F"/>
    <w:rsid w:val="00CA408E"/>
    <w:rsid w:val="00CC5B0D"/>
    <w:rsid w:val="00CF7FFC"/>
    <w:rsid w:val="00D0572D"/>
    <w:rsid w:val="00D077EA"/>
    <w:rsid w:val="00D24795"/>
    <w:rsid w:val="00D3040D"/>
    <w:rsid w:val="00D915E2"/>
    <w:rsid w:val="00DA3A9E"/>
    <w:rsid w:val="00DA41EA"/>
    <w:rsid w:val="00DA60EE"/>
    <w:rsid w:val="00DB6D24"/>
    <w:rsid w:val="00E33C8F"/>
    <w:rsid w:val="00E968F7"/>
    <w:rsid w:val="00EA0773"/>
    <w:rsid w:val="00F15B71"/>
    <w:rsid w:val="00F4409D"/>
    <w:rsid w:val="00F80F0B"/>
    <w:rsid w:val="00F84A20"/>
    <w:rsid w:val="00FA5732"/>
    <w:rsid w:val="00FB198A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93744"/>
  <w15:docId w15:val="{8CA71718-4FC4-4347-9C51-590F5CAF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11C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C4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C49"/>
  </w:style>
  <w:style w:type="paragraph" w:styleId="Zpat">
    <w:name w:val="footer"/>
    <w:basedOn w:val="Normln"/>
    <w:link w:val="ZpatChar"/>
    <w:uiPriority w:val="99"/>
    <w:unhideWhenUsed/>
    <w:rsid w:val="0021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C49"/>
  </w:style>
  <w:style w:type="paragraph" w:customStyle="1" w:styleId="Zpat1">
    <w:name w:val="Zápatí1"/>
    <w:basedOn w:val="Standard"/>
    <w:rsid w:val="00211C49"/>
    <w:pPr>
      <w:suppressLineNumbers/>
      <w:tabs>
        <w:tab w:val="center" w:pos="4536"/>
        <w:tab w:val="right" w:pos="9072"/>
      </w:tabs>
    </w:pPr>
  </w:style>
  <w:style w:type="paragraph" w:customStyle="1" w:styleId="Nadpis71">
    <w:name w:val="Nadpis 71"/>
    <w:basedOn w:val="Standard"/>
    <w:next w:val="Normln"/>
    <w:rsid w:val="00193A5D"/>
    <w:pPr>
      <w:keepNext/>
      <w:outlineLvl w:val="6"/>
    </w:pPr>
    <w:rPr>
      <w:i/>
      <w:iCs/>
      <w:color w:val="000080"/>
    </w:rPr>
  </w:style>
  <w:style w:type="paragraph" w:customStyle="1" w:styleId="Zkladnodstavec">
    <w:name w:val="[Základní odstavec]"/>
    <w:basedOn w:val="Normln"/>
    <w:rsid w:val="00193A5D"/>
    <w:pPr>
      <w:autoSpaceDE w:val="0"/>
      <w:autoSpaceDN w:val="0"/>
      <w:spacing w:after="0" w:line="288" w:lineRule="auto"/>
    </w:pPr>
    <w:rPr>
      <w:rFonts w:ascii="Minion Pro" w:eastAsia="Calibri" w:hAnsi="Minion Pro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A4BBB"/>
    <w:rPr>
      <w:color w:val="0000FF" w:themeColor="hyperlink"/>
      <w:u w:val="single"/>
    </w:rPr>
  </w:style>
  <w:style w:type="paragraph" w:customStyle="1" w:styleId="mcntmsonormal">
    <w:name w:val="mcntmsonormal"/>
    <w:basedOn w:val="Normln"/>
    <w:rsid w:val="008430E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52CD8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221D5E"/>
    <w:pPr>
      <w:suppressAutoHyphens/>
      <w:spacing w:after="12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21D5E"/>
    <w:rPr>
      <w:rFonts w:ascii="Arial" w:eastAsia="Times New Roman" w:hAnsi="Arial" w:cs="Times New Roman"/>
      <w:szCs w:val="24"/>
      <w:lang w:eastAsia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locked/>
    <w:rsid w:val="00221D5E"/>
    <w:rPr>
      <w:lang w:val="fr-FR"/>
    </w:rPr>
  </w:style>
  <w:style w:type="paragraph" w:styleId="Textpoznpodarou">
    <w:name w:val="footnote text"/>
    <w:aliases w:val="fn"/>
    <w:basedOn w:val="Normln"/>
    <w:link w:val="TextpoznpodarouChar"/>
    <w:unhideWhenUsed/>
    <w:rsid w:val="00221D5E"/>
    <w:pPr>
      <w:spacing w:after="0" w:line="240" w:lineRule="auto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21D5E"/>
    <w:rPr>
      <w:sz w:val="20"/>
      <w:szCs w:val="20"/>
    </w:rPr>
  </w:style>
  <w:style w:type="character" w:styleId="Znakapoznpodarou">
    <w:name w:val="footnote reference"/>
    <w:unhideWhenUsed/>
    <w:rsid w:val="00221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123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730">
              <w:marLeft w:val="0"/>
              <w:marRight w:val="0"/>
              <w:marTop w:val="0"/>
              <w:marBottom w:val="0"/>
              <w:divBdr>
                <w:top w:val="single" w:sz="12" w:space="0" w:color="666666"/>
                <w:left w:val="single" w:sz="12" w:space="0" w:color="666666"/>
                <w:bottom w:val="single" w:sz="12" w:space="0" w:color="666666"/>
                <w:right w:val="single" w:sz="12" w:space="0" w:color="666666"/>
              </w:divBdr>
              <w:divsChild>
                <w:div w:id="10946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37BB-C8F3-4F62-A483-7FBB0CEA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zdenek.mecir</dc:creator>
  <cp:lastModifiedBy>Balog Lukas</cp:lastModifiedBy>
  <cp:revision>3</cp:revision>
  <cp:lastPrinted>2018-11-07T13:00:00Z</cp:lastPrinted>
  <dcterms:created xsi:type="dcterms:W3CDTF">2023-01-24T13:00:00Z</dcterms:created>
  <dcterms:modified xsi:type="dcterms:W3CDTF">2023-02-06T13:28:00Z</dcterms:modified>
</cp:coreProperties>
</file>