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09C13DFB" w:rsidR="002C5BA7" w:rsidRDefault="00920E4B" w:rsidP="00721916">
      <w:pPr>
        <w:pStyle w:val="Nzev"/>
        <w:rPr>
          <w:rFonts w:asciiTheme="minorHAnsi" w:hAnsiTheme="minorHAnsi" w:cstheme="minorHAnsi"/>
          <w:szCs w:val="28"/>
        </w:rPr>
      </w:pPr>
      <w:r w:rsidRPr="006745D5">
        <w:rPr>
          <w:rFonts w:asciiTheme="minorHAnsi" w:hAnsiTheme="minorHAnsi" w:cstheme="minorHAnsi"/>
          <w:szCs w:val="28"/>
        </w:rPr>
        <w:t>KUPNÍ SMLOUVA</w:t>
      </w:r>
    </w:p>
    <w:p w14:paraId="55738366" w14:textId="208B6D65" w:rsidR="006745D5" w:rsidRPr="006745D5" w:rsidRDefault="006745D5" w:rsidP="00721916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NÁKUP </w:t>
      </w:r>
      <w:r w:rsidR="001B136D">
        <w:rPr>
          <w:rFonts w:asciiTheme="minorHAnsi" w:hAnsiTheme="minorHAnsi" w:cstheme="minorHAnsi"/>
          <w:szCs w:val="28"/>
        </w:rPr>
        <w:t>OSOBNÍHO AUTOMOBILU</w:t>
      </w:r>
    </w:p>
    <w:p w14:paraId="523A1A47" w14:textId="77777777" w:rsidR="00CD031F" w:rsidRPr="00CD031F" w:rsidRDefault="00CD031F" w:rsidP="2FA32E01">
      <w:pPr>
        <w:pStyle w:val="Nzev"/>
        <w:rPr>
          <w:rFonts w:ascii="Calibri" w:hAnsi="Calibri" w:cs="Calibri"/>
        </w:rPr>
      </w:pPr>
    </w:p>
    <w:p w14:paraId="5F917FE2" w14:textId="13540A3E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BE3E5E1" w14:textId="49765952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</w:p>
    <w:p w14:paraId="79D58384" w14:textId="64F56CA3" w:rsidR="00CD031F" w:rsidRPr="00CD031F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[doplní poskytovatel]</w:t>
      </w:r>
    </w:p>
    <w:p w14:paraId="04976CFD" w14:textId="6F3C7122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</w:p>
    <w:p w14:paraId="7BFA599E" w14:textId="6B21A3D7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Smluvní strany:</w:t>
      </w:r>
    </w:p>
    <w:p w14:paraId="4F6B1642" w14:textId="77777777" w:rsidR="005C57B2" w:rsidRPr="00CD031F" w:rsidRDefault="005C57B2" w:rsidP="005C57B2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proofErr w:type="spellStart"/>
      <w:r w:rsidRPr="00CD031F">
        <w:rPr>
          <w:rFonts w:ascii="Calibri" w:hAnsi="Calibri" w:cs="Calibri"/>
          <w:szCs w:val="24"/>
        </w:rPr>
        <w:t>Pr</w:t>
      </w:r>
      <w:proofErr w:type="spellEnd"/>
      <w:r w:rsidRPr="00CD031F">
        <w:rPr>
          <w:rFonts w:ascii="Calibri" w:hAnsi="Calibri" w:cs="Calibri"/>
          <w:szCs w:val="24"/>
        </w:rPr>
        <w:t xml:space="preserve"> 1564 vedená u Městského soudu v Praze</w:t>
      </w:r>
    </w:p>
    <w:p w14:paraId="5DBF06B8" w14:textId="5ABA993D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 </w:t>
      </w:r>
      <w:r w:rsidR="00654287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0A82B3F7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F15439" w:rsidRPr="00CD031F">
        <w:rPr>
          <w:rFonts w:ascii="Calibri" w:hAnsi="Calibri" w:cs="Calibri"/>
          <w:szCs w:val="24"/>
        </w:rPr>
        <w:t xml:space="preserve">ankovní spojení: </w:t>
      </w:r>
      <w:r w:rsidR="00F15439" w:rsidRPr="00CD031F">
        <w:rPr>
          <w:rFonts w:ascii="Calibri" w:hAnsi="Calibri" w:cs="Calibri"/>
          <w:szCs w:val="24"/>
        </w:rPr>
        <w:tab/>
        <w:t>PPF banka, a.s.</w:t>
      </w:r>
    </w:p>
    <w:p w14:paraId="19A62AF1" w14:textId="6BA72E0B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F15439" w:rsidRPr="00CD031F">
        <w:rPr>
          <w:rFonts w:ascii="Calibri" w:hAnsi="Calibri" w:cs="Calibri"/>
          <w:szCs w:val="24"/>
        </w:rPr>
        <w:t>rovozní účet:</w:t>
      </w:r>
      <w:r w:rsidR="00F15439"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="00F15439"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2254E553" w14:textId="77777777" w:rsidR="00CD4035" w:rsidRPr="00CD031F" w:rsidRDefault="00CD4035" w:rsidP="002A5596">
      <w:pPr>
        <w:tabs>
          <w:tab w:val="right" w:pos="6663"/>
        </w:tabs>
        <w:spacing w:before="240"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Pr="00CD031F">
        <w:rPr>
          <w:rFonts w:ascii="Calibri" w:hAnsi="Calibri" w:cs="Calibri"/>
          <w:b/>
          <w:szCs w:val="24"/>
        </w:rPr>
        <w:t>Kupující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7BBE05B" w14:textId="097901EC" w:rsidR="002A5596" w:rsidRPr="002A5596" w:rsidRDefault="002A5596" w:rsidP="00F15439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highlight w:val="green"/>
        </w:rPr>
        <w:t>[</w:t>
      </w:r>
      <w:r w:rsidRPr="002A5596">
        <w:rPr>
          <w:rFonts w:ascii="Calibri" w:hAnsi="Calibri" w:cs="Calibri"/>
          <w:b/>
          <w:bCs/>
          <w:szCs w:val="24"/>
          <w:highlight w:val="green"/>
        </w:rPr>
        <w:t>Název dodavatele]</w:t>
      </w:r>
      <w:r>
        <w:rPr>
          <w:rFonts w:ascii="Calibri" w:hAnsi="Calibri" w:cs="Calibri"/>
          <w:b/>
          <w:bCs/>
          <w:szCs w:val="24"/>
        </w:rPr>
        <w:t xml:space="preserve"> </w:t>
      </w:r>
    </w:p>
    <w:p w14:paraId="5D9AF374" w14:textId="2AC138F0" w:rsidR="002A5596" w:rsidRPr="00CD031F" w:rsidRDefault="002A5596" w:rsidP="002A5596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</w:t>
      </w:r>
      <w:r w:rsidRPr="00CD031F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>DOPLNÍ 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F7CF872" w14:textId="22F1E19A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2A5596">
        <w:rPr>
          <w:rFonts w:ascii="Calibri" w:hAnsi="Calibri" w:cs="Calibri"/>
          <w:szCs w:val="24"/>
        </w:rPr>
        <w:tab/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5024BB0B" w14:textId="4314178D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 xml:space="preserve">DIČ: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28D73AE5" w14:textId="3A3ADC4A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7E071F" w:rsidRPr="00CD031F">
        <w:rPr>
          <w:rFonts w:ascii="Calibri" w:hAnsi="Calibri" w:cs="Calibri"/>
          <w:szCs w:val="24"/>
        </w:rPr>
        <w:t xml:space="preserve">ankovní spojení: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F9381A" w:rsidRPr="002A5596">
        <w:rPr>
          <w:rFonts w:ascii="Calibri" w:hAnsi="Calibri" w:cs="Calibri"/>
          <w:szCs w:val="24"/>
          <w:highlight w:val="green"/>
        </w:rPr>
        <w:t>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2B276485" w14:textId="50DA26F9" w:rsidR="00F15439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F15439" w:rsidRPr="00CD031F">
        <w:rPr>
          <w:rFonts w:ascii="Calibri" w:hAnsi="Calibri" w:cs="Calibri"/>
          <w:szCs w:val="24"/>
        </w:rPr>
        <w:t>astoupena</w:t>
      </w:r>
      <w:r w:rsidR="00F9381A" w:rsidRPr="00CD031F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63FB2F18" w14:textId="2BB916B8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7E071F" w:rsidRPr="00CD031F">
        <w:rPr>
          <w:rFonts w:ascii="Calibri" w:hAnsi="Calibri" w:cs="Calibri"/>
          <w:szCs w:val="24"/>
        </w:rPr>
        <w:t>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="007E071F"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>(včetně kontak</w:t>
      </w:r>
      <w:r w:rsidR="00852C4E" w:rsidRPr="002A5596">
        <w:rPr>
          <w:rFonts w:ascii="Calibri" w:hAnsi="Calibri" w:cs="Calibri"/>
          <w:szCs w:val="24"/>
          <w:highlight w:val="green"/>
        </w:rPr>
        <w:t>tů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364A85A2" w14:textId="35ADC93E" w:rsidR="00852C4E" w:rsidRPr="00CD031F" w:rsidRDefault="002A5596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F41ED2" w:rsidRPr="00CD031F">
        <w:rPr>
          <w:rFonts w:ascii="Calibri" w:hAnsi="Calibri" w:cs="Calibri"/>
          <w:szCs w:val="24"/>
        </w:rPr>
        <w:t xml:space="preserve">ontaktní osoba pro reklamace věcí: 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(DOPLNÍ DODAVATEL)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</w:t>
      </w:r>
      <w:r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59E9670A" w14:textId="0DFA02A5" w:rsidR="00DB2D91" w:rsidRDefault="00DB2D91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043F7A" w:rsidRPr="00CD031F">
        <w:rPr>
          <w:rFonts w:ascii="Calibri" w:hAnsi="Calibri" w:cs="Calibri"/>
          <w:b/>
          <w:szCs w:val="24"/>
        </w:rPr>
        <w:t>P</w:t>
      </w:r>
      <w:r w:rsidRPr="00CD031F">
        <w:rPr>
          <w:rFonts w:ascii="Calibri" w:hAnsi="Calibri" w:cs="Calibri"/>
          <w:b/>
          <w:szCs w:val="24"/>
        </w:rPr>
        <w:t>rodávající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106F8822" w14:textId="698E2FD4" w:rsidR="00CD031F" w:rsidRDefault="00CD031F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7F9EE667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 § </w:t>
      </w:r>
      <w:smartTag w:uri="urn:schemas-microsoft-com:office:smarttags" w:element="metricconverter">
        <w:smartTagPr>
          <w:attr w:name="ProductID" w:val="2079 a"/>
        </w:smartTagPr>
        <w:r w:rsidRPr="00CD031F">
          <w:rPr>
            <w:rFonts w:ascii="Calibri" w:hAnsi="Calibri" w:cs="Calibri"/>
            <w:szCs w:val="24"/>
          </w:rPr>
          <w:t>2079 a</w:t>
        </w:r>
      </w:smartTag>
      <w:r w:rsidRPr="00CD031F">
        <w:rPr>
          <w:rFonts w:ascii="Calibri" w:hAnsi="Calibri" w:cs="Calibri"/>
          <w:szCs w:val="24"/>
        </w:rPr>
        <w:t xml:space="preserve"> násl.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920E4B" w:rsidRPr="00CD031F">
        <w:rPr>
          <w:rFonts w:ascii="Calibri" w:hAnsi="Calibri" w:cs="Calibri"/>
          <w:szCs w:val="24"/>
        </w:rPr>
        <w:t>kupní smlouvu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337DD8B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47DD7C46" w:rsidR="00E91A36" w:rsidRPr="00FA61C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je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615B9D">
        <w:rPr>
          <w:rFonts w:asciiTheme="minorHAnsi" w:hAnsiTheme="minorHAnsi" w:cstheme="minorHAnsi"/>
          <w:b/>
          <w:bCs/>
          <w:sz w:val="22"/>
          <w:szCs w:val="22"/>
        </w:rPr>
        <w:t>osobního automobilu</w:t>
      </w:r>
      <w:r w:rsidR="00AD13DC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>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AC0E74" w:rsidRPr="00FA61C6">
        <w:rPr>
          <w:rFonts w:asciiTheme="minorHAnsi" w:hAnsiTheme="minorHAnsi" w:cstheme="minorHAnsi"/>
          <w:sz w:val="22"/>
          <w:szCs w:val="22"/>
        </w:rPr>
        <w:t>upujícího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r w:rsidR="003A4C40" w:rsidRPr="00FA61C6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F855F2" w:rsidRPr="00FA61C6">
        <w:rPr>
          <w:rFonts w:asciiTheme="minorHAnsi" w:hAnsiTheme="minorHAnsi" w:cstheme="minorHAnsi"/>
          <w:sz w:val="22"/>
          <w:szCs w:val="22"/>
        </w:rPr>
        <w:t>P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rodávajícím a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upujícím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7F1B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615B9D">
        <w:rPr>
          <w:rFonts w:asciiTheme="minorHAnsi" w:hAnsiTheme="minorHAnsi" w:cstheme="minorHAnsi"/>
          <w:b/>
          <w:bCs/>
          <w:sz w:val="22"/>
          <w:szCs w:val="22"/>
        </w:rPr>
        <w:t>osobního automobilu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F855F2" w:rsidRPr="007A1D7F">
        <w:rPr>
          <w:rFonts w:asciiTheme="minorHAnsi" w:hAnsiTheme="minorHAnsi" w:cstheme="minorHAnsi"/>
          <w:sz w:val="22"/>
          <w:szCs w:val="22"/>
        </w:rPr>
        <w:t>P</w:t>
      </w:r>
      <w:r w:rsidR="008D524D" w:rsidRPr="007A1D7F">
        <w:rPr>
          <w:rFonts w:asciiTheme="minorHAnsi" w:hAnsiTheme="minorHAnsi" w:cstheme="minorHAnsi"/>
          <w:sz w:val="22"/>
          <w:szCs w:val="22"/>
        </w:rPr>
        <w:t>rodávajícího 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hodnější. </w:t>
      </w:r>
      <w:r w:rsidR="00D756B5" w:rsidRPr="007A1D7F">
        <w:rPr>
          <w:rFonts w:asciiTheme="minorHAnsi" w:hAnsiTheme="minorHAnsi" w:cstheme="minorHAnsi"/>
          <w:sz w:val="22"/>
          <w:szCs w:val="22"/>
        </w:rPr>
        <w:t>Vozidl</w:t>
      </w:r>
      <w:r w:rsidR="00CD74C0" w:rsidRPr="007A1D7F">
        <w:rPr>
          <w:rFonts w:asciiTheme="minorHAnsi" w:hAnsiTheme="minorHAnsi" w:cstheme="minorHAnsi"/>
          <w:sz w:val="22"/>
          <w:szCs w:val="22"/>
        </w:rPr>
        <w:t>o</w:t>
      </w:r>
      <w:r w:rsidRPr="007A1D7F">
        <w:rPr>
          <w:rFonts w:asciiTheme="minorHAnsi" w:hAnsiTheme="minorHAnsi" w:cstheme="minorHAnsi"/>
          <w:sz w:val="22"/>
          <w:szCs w:val="22"/>
        </w:rPr>
        <w:t xml:space="preserve"> bud</w:t>
      </w:r>
      <w:r w:rsidR="00CD74C0" w:rsidRPr="007A1D7F">
        <w:rPr>
          <w:rFonts w:asciiTheme="minorHAnsi" w:hAnsiTheme="minorHAnsi" w:cstheme="minorHAnsi"/>
          <w:sz w:val="22"/>
          <w:szCs w:val="22"/>
        </w:rPr>
        <w:t>e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technické specifikaci 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 nabídce Prodávajícího, kterou předložil v zadávacím řízení na 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 bu</w:t>
      </w:r>
      <w:r w:rsidR="00CD74C0" w:rsidRPr="00FA61C6">
        <w:rPr>
          <w:rFonts w:asciiTheme="minorHAnsi" w:hAnsiTheme="minorHAnsi" w:cstheme="minorHAnsi"/>
          <w:sz w:val="22"/>
          <w:szCs w:val="22"/>
        </w:rPr>
        <w:t>de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F855F2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8CA2FA4" w14:textId="7AE26412" w:rsidR="00FA7E2E" w:rsidRPr="00FA61C6" w:rsidRDefault="005914A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Technická specifikace 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Pr="00FA61C6">
        <w:rPr>
          <w:rFonts w:asciiTheme="minorHAnsi" w:hAnsiTheme="minorHAnsi" w:cstheme="minorHAnsi"/>
          <w:sz w:val="22"/>
          <w:szCs w:val="22"/>
        </w:rPr>
        <w:t>této smlouvy (totožná, jako byla v zadávacím řízení).</w:t>
      </w:r>
    </w:p>
    <w:p w14:paraId="1E7395D8" w14:textId="32616041" w:rsidR="00FF25BB" w:rsidRPr="00FA61C6" w:rsidRDefault="00FF25BB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Prodávající se zavazuje též současně s dodáním 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a</w:t>
      </w:r>
      <w:r w:rsidRPr="00FA61C6">
        <w:rPr>
          <w:rFonts w:asciiTheme="minorHAnsi" w:hAnsiTheme="minorHAnsi" w:cstheme="minorHAnsi"/>
          <w:sz w:val="22"/>
          <w:szCs w:val="22"/>
        </w:rPr>
        <w:t xml:space="preserve"> zajistit je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zápis do registru silničních vozidel a osadit 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příslušnými tabulkami s přidělenou registrační značkou. Za tímto účelem vystaví Kupující Prodávajícímu potřebnou plnou moc.</w:t>
      </w:r>
    </w:p>
    <w:p w14:paraId="0B162880" w14:textId="1A7D9174" w:rsidR="00623648" w:rsidRDefault="0074497E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151DF3" w:rsidRPr="00FA61C6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dodat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 podmínek uvedených v 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Smlouvě</w:t>
      </w:r>
      <w:r w:rsidRPr="00FA61C6">
        <w:rPr>
          <w:rFonts w:asciiTheme="minorHAnsi" w:hAnsiTheme="minorHAnsi" w:cstheme="minorHAnsi"/>
          <w:sz w:val="22"/>
          <w:szCs w:val="22"/>
        </w:rPr>
        <w:t xml:space="preserve">, přičemž je povinen dodat </w:t>
      </w:r>
      <w:r w:rsidR="00BA5473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stejných nebo lepších parametrů, než je uvedeno v 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FA61C6">
        <w:rPr>
          <w:rFonts w:asciiTheme="minorHAnsi" w:hAnsiTheme="minorHAnsi" w:cstheme="minorHAnsi"/>
          <w:sz w:val="22"/>
          <w:szCs w:val="22"/>
        </w:rPr>
        <w:t>č. 1</w:t>
      </w:r>
      <w:r w:rsidR="00B77CAD" w:rsidRPr="00FA61C6">
        <w:rPr>
          <w:rFonts w:asciiTheme="minorHAnsi" w:hAnsiTheme="minorHAnsi" w:cstheme="minorHAnsi"/>
          <w:sz w:val="22"/>
          <w:szCs w:val="22"/>
        </w:rPr>
        <w:t xml:space="preserve"> této </w:t>
      </w:r>
      <w:r w:rsidR="00562A78" w:rsidRPr="00FA61C6">
        <w:rPr>
          <w:rFonts w:asciiTheme="minorHAnsi" w:hAnsiTheme="minorHAnsi" w:cstheme="minorHAnsi"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sz w:val="22"/>
          <w:szCs w:val="22"/>
        </w:rPr>
        <w:t>mlouvy</w:t>
      </w:r>
      <w:r w:rsidRPr="00FA61C6">
        <w:rPr>
          <w:rFonts w:asciiTheme="minorHAnsi" w:hAnsiTheme="minorHAnsi" w:cstheme="minorHAnsi"/>
          <w:sz w:val="22"/>
          <w:szCs w:val="22"/>
        </w:rPr>
        <w:t>.</w:t>
      </w:r>
    </w:p>
    <w:p w14:paraId="7E547E4D" w14:textId="58A19176" w:rsidR="0002450A" w:rsidRDefault="0002450A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2450A">
        <w:rPr>
          <w:rFonts w:asciiTheme="minorHAnsi" w:hAnsiTheme="minorHAnsi" w:cstheme="minorHAnsi"/>
          <w:sz w:val="22"/>
          <w:szCs w:val="22"/>
        </w:rPr>
        <w:t>touto smlouvou prodává níže specifikovaná vozidla a umožní kupujícímu nabýt vlastnické právo k následujícím vozidlům: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5D840" w14:textId="77777777" w:rsidR="0002450A" w:rsidRDefault="0002450A" w:rsidP="0002450A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2119"/>
      </w:tblGrid>
      <w:tr w:rsidR="0002450A" w14:paraId="371E889A" w14:textId="77777777" w:rsidTr="00965B31">
        <w:tc>
          <w:tcPr>
            <w:tcW w:w="2835" w:type="dxa"/>
          </w:tcPr>
          <w:p w14:paraId="39000A77" w14:textId="3060B1EC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Druh vozidla</w:t>
            </w:r>
            <w:r w:rsidR="009879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19E4228" w14:textId="64C5C873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F5CEAF2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Tovární značka:</w:t>
            </w:r>
          </w:p>
        </w:tc>
        <w:tc>
          <w:tcPr>
            <w:tcW w:w="2119" w:type="dxa"/>
          </w:tcPr>
          <w:p w14:paraId="6AAE2DC3" w14:textId="3615AB28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02450A" w14:paraId="440E4EFA" w14:textId="77777777" w:rsidTr="00965B31">
        <w:tc>
          <w:tcPr>
            <w:tcW w:w="2835" w:type="dxa"/>
          </w:tcPr>
          <w:p w14:paraId="296B51F7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VIN:</w:t>
            </w:r>
          </w:p>
        </w:tc>
        <w:tc>
          <w:tcPr>
            <w:tcW w:w="2268" w:type="dxa"/>
          </w:tcPr>
          <w:p w14:paraId="1534384A" w14:textId="0CB50A9F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F603445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  <w:tc>
          <w:tcPr>
            <w:tcW w:w="2119" w:type="dxa"/>
          </w:tcPr>
          <w:p w14:paraId="78C1F62F" w14:textId="7853EEAD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219CA75C" w14:textId="77777777" w:rsidTr="00965B31">
        <w:tc>
          <w:tcPr>
            <w:tcW w:w="2835" w:type="dxa"/>
          </w:tcPr>
          <w:p w14:paraId="73F8A7DB" w14:textId="10C089C5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Stav tachometru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14:paraId="254C7100" w14:textId="1865221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097CAF8" w14:textId="3B5A3B13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Barva:</w:t>
            </w:r>
          </w:p>
        </w:tc>
        <w:tc>
          <w:tcPr>
            <w:tcW w:w="2119" w:type="dxa"/>
          </w:tcPr>
          <w:p w14:paraId="5A5247E3" w14:textId="46F8582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047BE61C" w14:textId="77777777" w:rsidTr="00965B31">
        <w:tc>
          <w:tcPr>
            <w:tcW w:w="2835" w:type="dxa"/>
          </w:tcPr>
          <w:p w14:paraId="11CD35D6" w14:textId="109DEC18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Datum uvedení do provozu:</w:t>
            </w:r>
          </w:p>
        </w:tc>
        <w:tc>
          <w:tcPr>
            <w:tcW w:w="2268" w:type="dxa"/>
          </w:tcPr>
          <w:p w14:paraId="08971C2D" w14:textId="7ADAC71D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28209E20" w14:textId="6892C8E1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65EF8D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92A3C" w14:textId="77777777" w:rsidR="0002450A" w:rsidRPr="0002450A" w:rsidRDefault="0002450A" w:rsidP="0002450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3FDC" w14:textId="56479208" w:rsidR="00623648" w:rsidRPr="00FA61C6" w:rsidRDefault="00517B2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převzít a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zaplatit za </w:t>
      </w:r>
      <w:r w:rsidR="00B256F7" w:rsidRPr="00FA61C6">
        <w:rPr>
          <w:rFonts w:asciiTheme="minorHAnsi" w:hAnsiTheme="minorHAnsi" w:cstheme="minorHAnsi"/>
          <w:sz w:val="22"/>
          <w:szCs w:val="22"/>
        </w:rPr>
        <w:t>ně</w:t>
      </w:r>
      <w:r w:rsidR="00CD74C0" w:rsidRPr="00FA61C6">
        <w:rPr>
          <w:rFonts w:asciiTheme="minorHAnsi" w:hAnsiTheme="minorHAnsi" w:cstheme="minorHAnsi"/>
          <w:sz w:val="22"/>
          <w:szCs w:val="22"/>
        </w:rPr>
        <w:t>j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BA5473" w:rsidRPr="00FA61C6">
        <w:rPr>
          <w:rFonts w:asciiTheme="minorHAnsi" w:hAnsiTheme="minorHAnsi" w:cstheme="minorHAnsi"/>
          <w:sz w:val="22"/>
          <w:szCs w:val="22"/>
        </w:rPr>
        <w:t>sjednanou cenu, bud</w:t>
      </w:r>
      <w:r w:rsidR="00CD74C0" w:rsidRPr="00FA61C6">
        <w:rPr>
          <w:rFonts w:asciiTheme="minorHAnsi" w:hAnsiTheme="minorHAnsi" w:cstheme="minorHAnsi"/>
          <w:sz w:val="22"/>
          <w:szCs w:val="22"/>
        </w:rPr>
        <w:t xml:space="preserve">e-li </w:t>
      </w:r>
      <w:r w:rsidR="00BA5473" w:rsidRPr="00FA61C6">
        <w:rPr>
          <w:rFonts w:asciiTheme="minorHAnsi" w:hAnsiTheme="minorHAnsi" w:cstheme="minorHAnsi"/>
          <w:sz w:val="22"/>
          <w:szCs w:val="22"/>
        </w:rPr>
        <w:t>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v souladu s 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Smlouvou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a </w:t>
      </w:r>
      <w:r w:rsidRPr="00FA61C6">
        <w:rPr>
          <w:rFonts w:asciiTheme="minorHAnsi" w:hAnsiTheme="minorHAnsi" w:cstheme="minorHAnsi"/>
          <w:sz w:val="22"/>
          <w:szCs w:val="22"/>
        </w:rPr>
        <w:t xml:space="preserve">konkrétní </w:t>
      </w:r>
      <w:r w:rsidR="00B37286" w:rsidRPr="00FA61C6">
        <w:rPr>
          <w:rFonts w:asciiTheme="minorHAnsi" w:hAnsiTheme="minorHAnsi" w:cstheme="minorHAnsi"/>
          <w:sz w:val="22"/>
          <w:szCs w:val="22"/>
        </w:rPr>
        <w:t>výzvou k plnění</w:t>
      </w:r>
      <w:r w:rsidR="00623648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02A38083" w14:textId="63E9B834" w:rsidR="000604C6" w:rsidRPr="00FA61C6" w:rsidRDefault="000604C6" w:rsidP="00326CA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4B29A043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Celková maximální kupní cena za vozidlo 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7ED5EB3D" w:rsidR="00EF0F7A" w:rsidRPr="00FA61C6" w:rsidRDefault="00FD09BB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Osobní automobil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07262B41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4E1E9AD1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>21% /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doplní</w:t>
            </w:r>
            <w:r w:rsidR="006C213D"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6C7E8E1B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6FDA38C2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E0E7E" w14:textId="77777777" w:rsidR="0002450A" w:rsidRDefault="0002450A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3E34CBB6" w14:textId="77777777" w:rsidR="001D76FC" w:rsidRPr="00FA61C6" w:rsidRDefault="001D76FC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5B052B51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0E8E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řádně a včas odevzdan</w:t>
      </w:r>
      <w:r w:rsidR="7849F782" w:rsidRPr="00FA61C6">
        <w:rPr>
          <w:rFonts w:asciiTheme="minorHAnsi" w:hAnsiTheme="minorHAnsi" w:cstheme="minorHAnsi"/>
          <w:bCs/>
          <w:sz w:val="22"/>
          <w:szCs w:val="22"/>
        </w:rPr>
        <w:t>é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55265E34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 bankovní účet 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Prodávajícím a doručeného Kupujícímu na adresu </w:t>
      </w:r>
      <w:hyperlink r:id="rId11" w:history="1">
        <w:r w:rsidR="00587B08" w:rsidRPr="00A55848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50B9B082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2AB23818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za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 žádných podmínek.</w:t>
      </w:r>
    </w:p>
    <w:p w14:paraId="719D446F" w14:textId="77777777" w:rsidR="009120E1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 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ke dni uskutečnění zdanitelného plnění. Datem uskutečnění zdanitelného plnění je den převzetí zboží Kupujícím.</w:t>
      </w:r>
    </w:p>
    <w:p w14:paraId="64DEDEF6" w14:textId="7F4954BB" w:rsidR="005748F1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ujišťuje </w:t>
      </w:r>
      <w:r w:rsidRPr="00FA61C6">
        <w:rPr>
          <w:rFonts w:asciiTheme="minorHAnsi" w:hAnsiTheme="minorHAnsi" w:cstheme="minorHAnsi"/>
          <w:bCs/>
          <w:sz w:val="22"/>
          <w:szCs w:val="22"/>
        </w:rPr>
        <w:t>Kupujícího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 a</w:t>
      </w:r>
      <w:r w:rsidR="00517B27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zahrnuje také náklady na dopravu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do místa určeného 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Kupujícím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recyklační poplatky,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správní poplatky apod.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všechny parametry uvedené v Příloze č. 1 této 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>mlouvy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C80CC" w14:textId="77777777" w:rsidR="00F86687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přebírá nebezpečí změny okolností ve smyslu § 1765 odst. 2 občanského zákoníku.</w:t>
      </w:r>
    </w:p>
    <w:p w14:paraId="4185EE7F" w14:textId="77777777" w:rsidR="00992281" w:rsidRPr="00FA61C6" w:rsidRDefault="0099228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neposkytuje Prodávajícímu zálohy.</w:t>
      </w:r>
    </w:p>
    <w:p w14:paraId="1BFEE239" w14:textId="1DC9332E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Daňový doklad (fakturu) doručí Prodávající Kupujícímu neprodleně po převzetí zboží Kupujícím.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3 pracovních dnů od převzetí zboží Kupujícím.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77777777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 Za den splnění platební povinnosti se považuje den odepsání částky ceny z účtu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47291D18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Kupujícím na účet Prodávajícího 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225BB000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11B6C681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827005" w:rsidRPr="00FA61C6">
        <w:rPr>
          <w:rFonts w:asciiTheme="minorHAnsi" w:hAnsiTheme="minorHAnsi" w:cstheme="minorHAnsi"/>
          <w:sz w:val="22"/>
          <w:szCs w:val="22"/>
        </w:rPr>
        <w:t>Kupující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ho (toto číslo musí být </w:t>
      </w:r>
      <w:r w:rsidR="006F4D73" w:rsidRPr="00FA61C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827005" w:rsidRPr="00FA61C6">
        <w:rPr>
          <w:rFonts w:asciiTheme="minorHAnsi" w:hAnsiTheme="minorHAnsi" w:cstheme="minorHAnsi"/>
          <w:sz w:val="22"/>
          <w:szCs w:val="22"/>
        </w:rPr>
        <w:t>Prodávající</w:t>
      </w:r>
      <w:r w:rsidR="00FA7C83" w:rsidRPr="00FA61C6">
        <w:rPr>
          <w:rFonts w:asciiTheme="minorHAnsi" w:hAnsiTheme="minorHAnsi" w:cstheme="minorHAnsi"/>
          <w:sz w:val="22"/>
          <w:szCs w:val="22"/>
        </w:rPr>
        <w:t>ho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59C37EE7" w14:textId="0014ECD4" w:rsidR="008F03A3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905F43" w14:textId="77777777" w:rsidR="008F03A3" w:rsidRDefault="008F03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B9B5BF7" w14:textId="77777777" w:rsidR="00F86687" w:rsidRPr="00FA61C6" w:rsidRDefault="00F86687" w:rsidP="008F03A3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85210" w14:textId="419E4983" w:rsidR="00E3783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5AA10A1A" w14:textId="7C756DF7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rodávající 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upujícího upozorní a na faktuře viditelně uvede, že DPH hradí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upující. Bude-li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17D6AF67" w14:textId="65E91673" w:rsidR="006F52F3" w:rsidRPr="00FA61C6" w:rsidRDefault="006F52F3" w:rsidP="0023526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2E04567B" w14:textId="4A3CA40E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Vozidlo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Prodávající povinen dodat Kupujícímu </w:t>
      </w:r>
      <w:r w:rsidRPr="00965B31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do </w:t>
      </w:r>
      <w:r w:rsidR="002D0AF5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29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.0</w:t>
      </w:r>
      <w:r w:rsidR="002D0AF5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8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.2025.</w:t>
      </w:r>
    </w:p>
    <w:p w14:paraId="083CCB63" w14:textId="77777777" w:rsidR="002606C7" w:rsidRPr="00FA61C6" w:rsidRDefault="002606C7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Místem dodání je sídlo Kupujícího uvedené v záhlaví této Smlouvy, pokud se smluvní strany nedohodnou jinak.</w:t>
      </w:r>
    </w:p>
    <w:p w14:paraId="4936E493" w14:textId="7AFB3310" w:rsidR="00F86687" w:rsidRPr="00FA61C6" w:rsidRDefault="00F86687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9EBB637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Převzetí zboží</w:t>
      </w:r>
    </w:p>
    <w:p w14:paraId="4991A570" w14:textId="391654D6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 w:rsidRPr="00FA61C6">
        <w:rPr>
          <w:rFonts w:asciiTheme="minorHAnsi" w:hAnsiTheme="minorHAnsi" w:cstheme="minorHAnsi"/>
          <w:sz w:val="22"/>
          <w:szCs w:val="22"/>
        </w:rPr>
        <w:t>den a hodinu předání vozidla je Prodávající povinen avizovat nejméně dva pracovní dny předem e-mailem nebo telefonicky kontaktním osobám Kupujícího uvedeným v této Smlouvě. Pokud tuto povinnost Prodávající nesplní, není Kupující povinen dodávku převzít a není v takovém případě v prodlení s převzetím věci.</w:t>
      </w:r>
    </w:p>
    <w:p w14:paraId="0193AC7F" w14:textId="6B89B6DF" w:rsidR="00154F7C" w:rsidRPr="007639DF" w:rsidRDefault="00154F7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Převzetí </w:t>
      </w:r>
      <w:r w:rsidRPr="00965B31">
        <w:rPr>
          <w:rFonts w:asciiTheme="minorHAnsi" w:hAnsiTheme="minorHAnsi" w:cstheme="minorHAnsi"/>
          <w:bCs/>
          <w:sz w:val="22"/>
          <w:szCs w:val="22"/>
        </w:rPr>
        <w:t>vozidla potvrdí za Kupujícího osoba oprávněná k jeho převzetí, a to na dokladu o převzetí vozidla (dodací list/výdejka/předávací protokol)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>.</w:t>
      </w:r>
      <w:r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15D71A" w14:textId="090AE22E" w:rsidR="00F26B1C" w:rsidRPr="00FA61C6" w:rsidRDefault="00F26B1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Vlastnické právo k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přejde z Prodávajícího na Kupujícího 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>okamžikem je</w:t>
      </w:r>
      <w:r w:rsidR="00B701A3" w:rsidRPr="00FA61C6">
        <w:rPr>
          <w:rFonts w:asciiTheme="minorHAnsi" w:hAnsiTheme="minorHAnsi" w:cstheme="minorHAnsi"/>
          <w:bCs/>
          <w:sz w:val="22"/>
          <w:szCs w:val="22"/>
        </w:rPr>
        <w:t>ho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 xml:space="preserve"> převzetí.</w:t>
      </w:r>
    </w:p>
    <w:p w14:paraId="574C45B2" w14:textId="35BFEB56" w:rsidR="006020BD" w:rsidRPr="00FA61C6" w:rsidRDefault="006020BD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Spolu s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em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8DB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doklady nutné k provozu vozidla na pozemních komunikacích.</w:t>
      </w:r>
    </w:p>
    <w:p w14:paraId="3257F800" w14:textId="2BA9D810" w:rsidR="000519CB" w:rsidRPr="00FA61C6" w:rsidRDefault="000519CB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je 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povinen ode dne převzetí vozidla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platit zákonné pojištění vozidel.</w:t>
      </w:r>
    </w:p>
    <w:p w14:paraId="666D519C" w14:textId="77777777" w:rsidR="00235264" w:rsidRPr="00FA61C6" w:rsidRDefault="0023526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3CEF191" w14:textId="2D23D4E7" w:rsidR="006020BD" w:rsidRPr="00FA61C6" w:rsidRDefault="006020BD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5163BD1" w14:textId="52AB5A7D" w:rsidR="006020BD" w:rsidRPr="00FA61C6" w:rsidRDefault="005823E9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O</w:t>
      </w:r>
      <w:r w:rsidR="00E301A6" w:rsidRPr="00FA61C6">
        <w:rPr>
          <w:rFonts w:asciiTheme="minorHAnsi" w:hAnsiTheme="minorHAnsi" w:cstheme="minorHAnsi"/>
          <w:b/>
          <w:sz w:val="22"/>
          <w:szCs w:val="22"/>
        </w:rPr>
        <w:t>dpovědnost za vady,</w:t>
      </w:r>
      <w:r w:rsidR="006020BD" w:rsidRPr="00FA61C6">
        <w:rPr>
          <w:rFonts w:asciiTheme="minorHAnsi" w:hAnsiTheme="minorHAnsi" w:cstheme="minorHAnsi"/>
          <w:b/>
          <w:sz w:val="22"/>
          <w:szCs w:val="22"/>
        </w:rPr>
        <w:t xml:space="preserve"> reklamační podmínky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4ABE" w14:textId="0C55F51F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podpisem této Smlouvy potvrzuje, že si před jejím uzavřením vozidlo podrobně prohlédl, seznámil se s jeho technickým stavem a uskutečnil s vozidlem zkušební jízdu. </w:t>
      </w:r>
    </w:p>
    <w:p w14:paraId="154BE9E6" w14:textId="02B04C1B" w:rsidR="00FF25BB" w:rsidRPr="00FA61C6" w:rsidRDefault="00FF25BB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4481826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poskytuje na dodané vozidlo včetně příslušenství záruku za jakost v délce </w:t>
      </w:r>
      <w:r w:rsidR="00F9381A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="00933FE7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– nejméně však </w:t>
      </w:r>
      <w:r w:rsidR="2D5C71D3" w:rsidRPr="00154F7C">
        <w:rPr>
          <w:rFonts w:asciiTheme="minorHAnsi" w:hAnsiTheme="minorHAnsi" w:cstheme="minorHAnsi"/>
          <w:bCs/>
          <w:sz w:val="22"/>
          <w:szCs w:val="22"/>
        </w:rPr>
        <w:t>24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měsíců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měsíců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od jeho dodání kupujícímu nebo do ujetí </w:t>
      </w:r>
      <w:r w:rsidR="00933FE7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– nejméně však 100 000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km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A61C6">
        <w:rPr>
          <w:rFonts w:asciiTheme="minorHAnsi" w:hAnsiTheme="minorHAnsi" w:cstheme="minorHAnsi"/>
          <w:bCs/>
          <w:sz w:val="22"/>
          <w:szCs w:val="22"/>
        </w:rPr>
        <w:t>podle toho, co nastane dříve).</w:t>
      </w:r>
      <w:bookmarkEnd w:id="0"/>
    </w:p>
    <w:p w14:paraId="3363BF5F" w14:textId="281C345B" w:rsidR="00E301A6" w:rsidRPr="00965B31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9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odpovídá za jakoukoliv vadu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 xml:space="preserve">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s výjimkou běžných opotřebení, vad způsobených nesprávnou obsluhou, vad způsobených vyšší mocí nebo třetími osobami a vad spotřebního materiálu.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 xml:space="preserve"> Prodávajíc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>í dále neodpovídá za vady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>la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>, na které Kupujícího upozornil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A9D" w:rsidRPr="00965B31">
        <w:rPr>
          <w:rFonts w:asciiTheme="minorHAnsi" w:hAnsiTheme="minorHAnsi" w:cstheme="minorHAnsi"/>
          <w:bCs/>
          <w:sz w:val="22"/>
          <w:szCs w:val="22"/>
        </w:rPr>
        <w:t>a jsou zaznamenány na dokladu o převzetí vozidla</w:t>
      </w:r>
      <w:r w:rsidR="0093072F"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B17CA7" w14:textId="38C0CC9C" w:rsidR="006C364E" w:rsidRDefault="00817F2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vady, jestliže nebyl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5F642E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965B31">
        <w:rPr>
          <w:rFonts w:asciiTheme="minorHAnsi" w:hAnsiTheme="minorHAnsi" w:cstheme="minorHAnsi"/>
          <w:bCs/>
          <w:sz w:val="22"/>
          <w:szCs w:val="22"/>
        </w:rPr>
        <w:t xml:space="preserve">Přílohou č. </w:t>
      </w:r>
      <w:r w:rsidR="007639DF" w:rsidRPr="00965B31">
        <w:rPr>
          <w:rFonts w:asciiTheme="minorHAnsi" w:hAnsiTheme="minorHAnsi" w:cstheme="minorHAnsi"/>
          <w:bCs/>
          <w:sz w:val="22"/>
          <w:szCs w:val="22"/>
        </w:rPr>
        <w:t>2</w:t>
      </w:r>
      <w:r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7653F6" w14:textId="77777777" w:rsidR="006C364E" w:rsidRDefault="006C364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139FD8C" w14:textId="77777777" w:rsidR="00823AA6" w:rsidRPr="00FA61C6" w:rsidRDefault="00823AA6" w:rsidP="006C364E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07BDAC" w14:textId="74450B65" w:rsidR="005A5D3F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Práva z odpovědnosti za vady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uplatňuje Kupující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 xml:space="preserve"> písemně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Kupující umožní Prodávajícímu prohlídku reklamovaného vozidla ve svém sídle nebo v jiné své provozovně na území hlavního města Prahy. Pro účely uplatnění práv z odpovědnosti za vady nebo záruky za jakost není Kupující povinen vozidlo dopravit na jiná místa než dle předcházející věty, nedohodne-li se s Prodávajícím v konkrétním případě jinak.</w:t>
      </w:r>
    </w:p>
    <w:p w14:paraId="58F37B48" w14:textId="77777777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Po dobu mezi doručením reklamace vady Prodávajícímu a podpisem Kupujícího 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2609081B" w:rsidR="005B736F" w:rsidRPr="00FA61C6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77777777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Uplatněním práv z odpovědnosti za vady není dotčeno právo Kupujícího na náhradu škody.</w:t>
      </w:r>
    </w:p>
    <w:p w14:paraId="7F3159A6" w14:textId="10695DF4" w:rsidR="00F27AF2" w:rsidRPr="00FA61C6" w:rsidRDefault="00F27A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</w:t>
      </w:r>
      <w:r w:rsidR="00AC0E74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>cí</w:t>
      </w:r>
      <w:r w:rsidR="20F0E1D0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66341E7B" w14:textId="15482A12" w:rsidR="159BBBA8" w:rsidRPr="00FA61C6" w:rsidRDefault="159BBBA8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47CA0B8F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4A9B7369" w:rsidRPr="00FA61C6">
        <w:rPr>
          <w:rFonts w:asciiTheme="minorHAnsi" w:hAnsiTheme="minorHAnsi" w:cstheme="minorHAnsi"/>
          <w:bCs/>
          <w:sz w:val="22"/>
          <w:szCs w:val="22"/>
        </w:rPr>
        <w:t xml:space="preserve">po dobu </w:t>
      </w:r>
      <w:r w:rsidR="09B79CB8" w:rsidRPr="00FA61C6">
        <w:rPr>
          <w:rFonts w:asciiTheme="minorHAnsi" w:hAnsiTheme="minorHAnsi" w:cstheme="minorHAnsi"/>
          <w:bCs/>
          <w:sz w:val="22"/>
          <w:szCs w:val="22"/>
        </w:rPr>
        <w:t xml:space="preserve">záruční opravy </w:t>
      </w:r>
      <w:r w:rsidR="1B99F531" w:rsidRPr="00FA61C6">
        <w:rPr>
          <w:rFonts w:asciiTheme="minorHAnsi" w:hAnsiTheme="minorHAnsi" w:cstheme="minorHAnsi"/>
          <w:bCs/>
          <w:sz w:val="22"/>
          <w:szCs w:val="22"/>
        </w:rPr>
        <w:t>bezúplatně poskytnout náhradní vozidlo odpovídající kategorie.</w:t>
      </w:r>
    </w:p>
    <w:p w14:paraId="1D2F398A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1057" w14:textId="77777777" w:rsidR="00065EF2" w:rsidRPr="00FA61C6" w:rsidRDefault="00065EF2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13FCB8C1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Prodávající bude v prodlení se splněním povinnosti dodat vozidlo ve lhůtě sjednané touto Smlouvou, je Prodávající povinen zaplatit Kupujícímu smluvní pokutu ve výši 0,2 % z ceny nedodaného zboží vč. DPH za každý započatý pracovní den po překročení termínu.</w:t>
      </w:r>
    </w:p>
    <w:p w14:paraId="25EB2BBB" w14:textId="792FD1DA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., je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F2F65A" w14:textId="66E12130" w:rsidR="00202A93" w:rsidRPr="00FA61C6" w:rsidRDefault="00202A93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2135E7A" w14:textId="65C32379" w:rsidR="00716E21" w:rsidRPr="00FA61C6" w:rsidRDefault="00716E21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2DA8C913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Obě Smluvní strany souhlasí se zveřejněním všech náležitostí smluvního vztahu založeného touto smlouvou.</w:t>
      </w:r>
    </w:p>
    <w:p w14:paraId="77545DCB" w14:textId="17D80A68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smlouvy výslovně prohlašují, že jim nejsou známy žádné okolnosti bránící v uzavření této smlouvy. </w:t>
      </w:r>
    </w:p>
    <w:p w14:paraId="7A9F3F49" w14:textId="1BDFFD04" w:rsidR="000C5D5A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je platná dnem podpisu stranami této smlouvy a nabývá účinnosti dnem vložení do registru smluv. </w:t>
      </w:r>
    </w:p>
    <w:p w14:paraId="39478269" w14:textId="4BBB3511" w:rsidR="00467D8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Tato smlouva bude po jejím uzavření vložena do registru smluv v souladu se zákonem č.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smlouvy zajišťuje </w:t>
      </w:r>
      <w:r w:rsidR="0086333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2BD9C3" w14:textId="77777777" w:rsidR="00467D8F" w:rsidRDefault="00467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7A2CAD9" w14:textId="77777777" w:rsidR="000604C6" w:rsidRPr="00FA61C6" w:rsidRDefault="000604C6" w:rsidP="00467D8F">
      <w:pPr>
        <w:pStyle w:val="Odstavecseseznamem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17B86" w14:textId="4C51B7A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Jakékoliv jednání předvídané v této Smlouvě, musí být učiněno, není-li ve Smlouvě výslovně stanoveno jinak, písemně v listinné podobě nebo elektronické opatřené elektronickým podpisem a musí být s vyloučením </w:t>
      </w:r>
      <w:proofErr w:type="spellStart"/>
      <w:r w:rsidRPr="00FA61C6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A61C6">
        <w:rPr>
          <w:rFonts w:asciiTheme="minorHAnsi" w:hAnsiTheme="minorHAnsi" w:cstheme="minorHAnsi"/>
          <w:bCs/>
          <w:sz w:val="22"/>
          <w:szCs w:val="22"/>
        </w:rPr>
        <w:t>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42334908" w14:textId="684F631B" w:rsidR="00B77F1B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2E544ED" w14:textId="7472366E" w:rsidR="00FA3839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 </w:t>
      </w:r>
    </w:p>
    <w:p w14:paraId="6FDCC906" w14:textId="77777777" w:rsidR="00F9381A" w:rsidRPr="00FA61C6" w:rsidRDefault="00F9381A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DE2AD2" w14:textId="77777777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1DB219" w14:textId="5399EAB5" w:rsidR="00065EF2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1" w:name="_Hlk199847241"/>
      <w:r w:rsidRPr="00FA61C6">
        <w:rPr>
          <w:rFonts w:asciiTheme="minorHAnsi" w:hAnsiTheme="minorHAnsi" w:cstheme="minorHAnsi"/>
          <w:b/>
          <w:sz w:val="22"/>
          <w:szCs w:val="22"/>
        </w:rPr>
        <w:t>Přílohy</w:t>
      </w:r>
      <w:r w:rsidR="00EF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C9ACEF" w14:textId="61FEBAC7" w:rsidR="00EF0F7A" w:rsidRPr="006C364E" w:rsidRDefault="00EF0F7A" w:rsidP="00EF0F7A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6C364E"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součástí této smlouvy jsou tyto její přílohy: </w:t>
      </w:r>
    </w:p>
    <w:p w14:paraId="0C27167F" w14:textId="67D6A165" w:rsidR="00065EF2" w:rsidRPr="006C364E" w:rsidRDefault="00065EF2" w:rsidP="007F2ABB">
      <w:pPr>
        <w:spacing w:line="276" w:lineRule="auto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>Příloha č.</w:t>
      </w:r>
      <w:r w:rsidR="00F47505"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1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467D8F"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Technická specifikace (Příloha č. 2</w:t>
      </w:r>
      <w:r w:rsidR="007F2ABB"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a)</w:t>
      </w:r>
      <w:r w:rsidR="00467D8F"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zadávací dokumentace)</w:t>
      </w:r>
      <w:r w:rsidR="007F2ABB"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</w:p>
    <w:p w14:paraId="3CBDF7A5" w14:textId="1644BD30" w:rsidR="007F2ABB" w:rsidRDefault="007F2ABB" w:rsidP="007F2ABB">
      <w:pPr>
        <w:spacing w:line="276" w:lineRule="auto"/>
        <w:ind w:left="2127" w:hanging="141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Příloha č.2: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>Technický výkres vozidla (</w:t>
      </w:r>
      <w:r w:rsidR="005F3FC0"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bližší zadání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v Příloze č. 2b) zadávací dokumentace), který </w:t>
      </w:r>
      <w:bookmarkStart w:id="2" w:name="_Hlk199768243"/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bude sloužit jako podklad pro návrh a realizaci grafického polepu </w:t>
      </w:r>
      <w:bookmarkEnd w:id="2"/>
      <w:r>
        <w:rPr>
          <w:rFonts w:ascii="Calibri" w:hAnsi="Calibri" w:cs="Calibri"/>
          <w:szCs w:val="24"/>
          <w:highlight w:val="green"/>
        </w:rPr>
        <w:t xml:space="preserve">[PŘÍLOHU </w:t>
      </w:r>
      <w:r w:rsidRPr="00CD031F">
        <w:rPr>
          <w:rFonts w:ascii="Calibri" w:hAnsi="Calibri" w:cs="Calibri"/>
          <w:szCs w:val="24"/>
          <w:highlight w:val="green"/>
        </w:rPr>
        <w:t>DO</w:t>
      </w:r>
      <w:r>
        <w:rPr>
          <w:rFonts w:ascii="Calibri" w:hAnsi="Calibri" w:cs="Calibri"/>
          <w:szCs w:val="24"/>
          <w:highlight w:val="green"/>
        </w:rPr>
        <w:t>DÁ</w:t>
      </w:r>
      <w:r w:rsidRPr="00CD031F">
        <w:rPr>
          <w:rFonts w:ascii="Calibri" w:hAnsi="Calibri" w:cs="Calibri"/>
          <w:szCs w:val="24"/>
          <w:highlight w:val="green"/>
        </w:rPr>
        <w:t xml:space="preserve"> DODAVATEL</w:t>
      </w:r>
      <w:r w:rsidRPr="002A5596">
        <w:rPr>
          <w:rFonts w:ascii="Calibri" w:hAnsi="Calibri" w:cs="Calibri"/>
          <w:szCs w:val="24"/>
          <w:highlight w:val="green"/>
        </w:rPr>
        <w:t>]</w:t>
      </w:r>
    </w:p>
    <w:bookmarkEnd w:id="1"/>
    <w:p w14:paraId="22D326F8" w14:textId="77777777" w:rsidR="00AA5CBA" w:rsidRDefault="00AA5CBA" w:rsidP="00AA5CBA"/>
    <w:p w14:paraId="4AF1D876" w14:textId="77777777" w:rsidR="00AA5CBA" w:rsidRDefault="00AA5CBA" w:rsidP="00AA5CBA"/>
    <w:p w14:paraId="0BA71BF6" w14:textId="77777777" w:rsidR="00AA5CBA" w:rsidRPr="00C8055F" w:rsidRDefault="00AA5CBA" w:rsidP="00AA5C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AA5CBA" w:rsidRPr="00C8055F" w14:paraId="250A172F" w14:textId="77777777" w:rsidTr="00B97DD3">
        <w:tc>
          <w:tcPr>
            <w:tcW w:w="4253" w:type="dxa"/>
          </w:tcPr>
          <w:p w14:paraId="198AAD72" w14:textId="72AF4E43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  <w:p w14:paraId="782CAE7A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652E63C5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7AA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E6DC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A8C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15F9C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5C3DCDC5" w14:textId="77777777" w:rsidR="00AA5CBA" w:rsidRPr="00AA5CBA" w:rsidRDefault="00AA5CBA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07F0FCB4" w14:textId="04EBBF23" w:rsidR="00AA5CBA" w:rsidRDefault="008A7E44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Ř</w:t>
            </w:r>
            <w:r w:rsidR="00AA5CBA" w:rsidRPr="00AA5CBA">
              <w:rPr>
                <w:rFonts w:cstheme="minorHAnsi"/>
              </w:rPr>
              <w:t>editel</w:t>
            </w:r>
          </w:p>
          <w:p w14:paraId="6C991345" w14:textId="77777777" w:rsidR="008A7E44" w:rsidRDefault="008A7E44" w:rsidP="008A7E44">
            <w:pPr>
              <w:pStyle w:val="Bezmezer"/>
            </w:pPr>
            <w:r>
              <w:t>Integrovaná doprava Středočeského kraje, příspěvková organizace</w:t>
            </w:r>
          </w:p>
          <w:p w14:paraId="4A0BE033" w14:textId="3D5884F2" w:rsidR="008A7E44" w:rsidRPr="00AA5CBA" w:rsidRDefault="008A7E44" w:rsidP="00B97DD3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00" w:type="dxa"/>
          </w:tcPr>
          <w:p w14:paraId="44A4D201" w14:textId="140BAF35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  <w:p w14:paraId="0219432A" w14:textId="77777777" w:rsidR="00AA5CBA" w:rsidRPr="00AA5CBA" w:rsidRDefault="00AA5CBA" w:rsidP="00B97DD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………..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1E324AB9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51F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AF290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EB0B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32C3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D804260" w14:textId="3FB6B41D" w:rsidR="00AA5CBA" w:rsidRDefault="007F2ABB" w:rsidP="00B97DD3">
            <w:pPr>
              <w:pStyle w:val="Bezmezer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highlight w:val="green"/>
              </w:rPr>
              <w:t>[</w:t>
            </w:r>
            <w:r w:rsidRPr="00CD031F">
              <w:rPr>
                <w:rFonts w:ascii="Calibri" w:hAnsi="Calibri" w:cs="Calibri"/>
                <w:szCs w:val="24"/>
                <w:highlight w:val="green"/>
              </w:rPr>
              <w:t>DOPLNÍ DODAVATEL</w:t>
            </w:r>
            <w:r w:rsidRPr="002A5596">
              <w:rPr>
                <w:rFonts w:ascii="Calibri" w:hAnsi="Calibri" w:cs="Calibri"/>
                <w:szCs w:val="24"/>
                <w:highlight w:val="green"/>
              </w:rPr>
              <w:t>]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3096EFA5" w14:textId="29746CDA" w:rsidR="007F2ABB" w:rsidRPr="00AA5CBA" w:rsidRDefault="007F2ABB" w:rsidP="00B97DD3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zCs w:val="24"/>
                <w:highlight w:val="green"/>
              </w:rPr>
              <w:t>[</w:t>
            </w:r>
            <w:r w:rsidRPr="00CD031F">
              <w:rPr>
                <w:rFonts w:ascii="Calibri" w:hAnsi="Calibri" w:cs="Calibri"/>
                <w:szCs w:val="24"/>
                <w:highlight w:val="green"/>
              </w:rPr>
              <w:t>DOPLNÍ DODAVATEL</w:t>
            </w:r>
            <w:r w:rsidRPr="002A5596">
              <w:rPr>
                <w:rFonts w:ascii="Calibri" w:hAnsi="Calibri" w:cs="Calibri"/>
                <w:szCs w:val="24"/>
                <w:highlight w:val="green"/>
              </w:rPr>
              <w:t>]</w:t>
            </w:r>
          </w:p>
          <w:p w14:paraId="2C7F270E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0F282A6A" w14:textId="77777777" w:rsidR="00AA5CBA" w:rsidRPr="00C8055F" w:rsidRDefault="00AA5CBA" w:rsidP="00AA5CBA"/>
    <w:p w14:paraId="4A8172AE" w14:textId="2F0B047E" w:rsidR="009E70D0" w:rsidRPr="00CD031F" w:rsidRDefault="007932BB" w:rsidP="007932BB">
      <w:pPr>
        <w:tabs>
          <w:tab w:val="left" w:pos="2235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sectPr w:rsidR="009E70D0" w:rsidRPr="00CD031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41B4" w14:textId="77777777" w:rsidR="00046004" w:rsidRDefault="00046004">
      <w:r>
        <w:separator/>
      </w:r>
    </w:p>
  </w:endnote>
  <w:endnote w:type="continuationSeparator" w:id="0">
    <w:p w14:paraId="613FF1C3" w14:textId="77777777" w:rsidR="00046004" w:rsidRDefault="0004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1482" w14:textId="77777777" w:rsidR="00046004" w:rsidRDefault="00046004">
      <w:r>
        <w:separator/>
      </w:r>
    </w:p>
  </w:footnote>
  <w:footnote w:type="continuationSeparator" w:id="0">
    <w:p w14:paraId="34E646C4" w14:textId="77777777" w:rsidR="00046004" w:rsidRDefault="0004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921" w14:textId="599559D9" w:rsidR="002A5596" w:rsidRPr="002A5596" w:rsidRDefault="002A5596" w:rsidP="002A5596">
    <w:pPr>
      <w:pStyle w:val="Zhlav"/>
      <w:rPr>
        <w:rFonts w:asciiTheme="minorHAnsi" w:hAnsiTheme="minorHAnsi" w:cstheme="minorHAnsi"/>
        <w:noProof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9E7B9E7" wp14:editId="19D38E44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asciiTheme="minorHAnsi" w:hAnsiTheme="minorHAnsi" w:cstheme="minorHAnsi"/>
        <w:noProof/>
        <w:sz w:val="22"/>
        <w:szCs w:val="22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</w:rPr>
      <w:t>5</w:t>
    </w:r>
    <w:r w:rsidRPr="002A5596">
      <w:rPr>
        <w:rFonts w:asciiTheme="minorHAnsi" w:hAnsiTheme="minorHAnsi" w:cstheme="minorHAnsi"/>
        <w:noProof/>
        <w:sz w:val="22"/>
        <w:szCs w:val="22"/>
      </w:rPr>
      <w:t xml:space="preserve">: Závazný návrh smlouvy </w:t>
    </w:r>
    <w:r w:rsidRPr="002A5596">
      <w:rPr>
        <w:rFonts w:asciiTheme="minorHAnsi" w:hAnsiTheme="minorHAnsi" w:cstheme="minorHAnsi"/>
        <w:noProof/>
        <w:sz w:val="22"/>
        <w:szCs w:val="22"/>
      </w:rPr>
      <w:tab/>
    </w:r>
  </w:p>
  <w:p w14:paraId="32985771" w14:textId="4C497BEB" w:rsidR="00F9381A" w:rsidRPr="00F9381A" w:rsidRDefault="00F9381A" w:rsidP="00F9381A">
    <w:pPr>
      <w:pStyle w:val="Zhlav"/>
      <w:rPr>
        <w:noProof/>
      </w:rPr>
    </w:pPr>
  </w:p>
  <w:p w14:paraId="195F4971" w14:textId="77777777" w:rsidR="00F9381A" w:rsidRPr="00F9381A" w:rsidRDefault="00F9381A" w:rsidP="00F9381A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2016955">
    <w:abstractNumId w:val="37"/>
  </w:num>
  <w:num w:numId="2" w16cid:durableId="34622074">
    <w:abstractNumId w:val="6"/>
  </w:num>
  <w:num w:numId="3" w16cid:durableId="599530516">
    <w:abstractNumId w:val="19"/>
  </w:num>
  <w:num w:numId="4" w16cid:durableId="264652953">
    <w:abstractNumId w:val="22"/>
  </w:num>
  <w:num w:numId="5" w16cid:durableId="818807196">
    <w:abstractNumId w:val="14"/>
  </w:num>
  <w:num w:numId="6" w16cid:durableId="1304038174">
    <w:abstractNumId w:val="4"/>
  </w:num>
  <w:num w:numId="7" w16cid:durableId="1619947188">
    <w:abstractNumId w:val="0"/>
  </w:num>
  <w:num w:numId="8" w16cid:durableId="2072775209">
    <w:abstractNumId w:val="24"/>
  </w:num>
  <w:num w:numId="9" w16cid:durableId="1587374697">
    <w:abstractNumId w:val="18"/>
  </w:num>
  <w:num w:numId="10" w16cid:durableId="1699888299">
    <w:abstractNumId w:val="16"/>
  </w:num>
  <w:num w:numId="11" w16cid:durableId="1191139118">
    <w:abstractNumId w:val="29"/>
  </w:num>
  <w:num w:numId="12" w16cid:durableId="1326861645">
    <w:abstractNumId w:val="30"/>
  </w:num>
  <w:num w:numId="13" w16cid:durableId="1329553635">
    <w:abstractNumId w:val="2"/>
  </w:num>
  <w:num w:numId="14" w16cid:durableId="273027681">
    <w:abstractNumId w:val="13"/>
  </w:num>
  <w:num w:numId="15" w16cid:durableId="1279600075">
    <w:abstractNumId w:val="10"/>
  </w:num>
  <w:num w:numId="16" w16cid:durableId="556284122">
    <w:abstractNumId w:val="36"/>
  </w:num>
  <w:num w:numId="17" w16cid:durableId="2111312907">
    <w:abstractNumId w:val="23"/>
  </w:num>
  <w:num w:numId="18" w16cid:durableId="529072763">
    <w:abstractNumId w:val="25"/>
  </w:num>
  <w:num w:numId="19" w16cid:durableId="1254440562">
    <w:abstractNumId w:val="12"/>
  </w:num>
  <w:num w:numId="20" w16cid:durableId="1901748524">
    <w:abstractNumId w:val="31"/>
  </w:num>
  <w:num w:numId="21" w16cid:durableId="235091371">
    <w:abstractNumId w:val="11"/>
  </w:num>
  <w:num w:numId="22" w16cid:durableId="1715160267">
    <w:abstractNumId w:val="20"/>
  </w:num>
  <w:num w:numId="23" w16cid:durableId="716901528">
    <w:abstractNumId w:val="7"/>
  </w:num>
  <w:num w:numId="24" w16cid:durableId="627514571">
    <w:abstractNumId w:val="26"/>
  </w:num>
  <w:num w:numId="25" w16cid:durableId="1428888499">
    <w:abstractNumId w:val="17"/>
  </w:num>
  <w:num w:numId="26" w16cid:durableId="1944264724">
    <w:abstractNumId w:val="3"/>
  </w:num>
  <w:num w:numId="27" w16cid:durableId="444540666">
    <w:abstractNumId w:val="32"/>
  </w:num>
  <w:num w:numId="28" w16cid:durableId="2026011499">
    <w:abstractNumId w:val="27"/>
  </w:num>
  <w:num w:numId="29" w16cid:durableId="1427534168">
    <w:abstractNumId w:val="8"/>
  </w:num>
  <w:num w:numId="30" w16cid:durableId="1005790078">
    <w:abstractNumId w:val="34"/>
  </w:num>
  <w:num w:numId="31" w16cid:durableId="1843200014">
    <w:abstractNumId w:val="21"/>
  </w:num>
  <w:num w:numId="32" w16cid:durableId="1450082002">
    <w:abstractNumId w:val="15"/>
  </w:num>
  <w:num w:numId="33" w16cid:durableId="1959750044">
    <w:abstractNumId w:val="5"/>
  </w:num>
  <w:num w:numId="34" w16cid:durableId="1861774748">
    <w:abstractNumId w:val="33"/>
  </w:num>
  <w:num w:numId="35" w16cid:durableId="1836603994">
    <w:abstractNumId w:val="35"/>
  </w:num>
  <w:num w:numId="36" w16cid:durableId="347878277">
    <w:abstractNumId w:val="28"/>
  </w:num>
  <w:num w:numId="37" w16cid:durableId="366681030">
    <w:abstractNumId w:val="9"/>
  </w:num>
  <w:num w:numId="38" w16cid:durableId="60276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5B84"/>
    <w:rsid w:val="00016D62"/>
    <w:rsid w:val="0002450A"/>
    <w:rsid w:val="00027587"/>
    <w:rsid w:val="00027E54"/>
    <w:rsid w:val="00031415"/>
    <w:rsid w:val="00041ACD"/>
    <w:rsid w:val="00043F7A"/>
    <w:rsid w:val="00044D6B"/>
    <w:rsid w:val="00046004"/>
    <w:rsid w:val="000519CB"/>
    <w:rsid w:val="00051A21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B12"/>
    <w:rsid w:val="00076145"/>
    <w:rsid w:val="00087249"/>
    <w:rsid w:val="000920C1"/>
    <w:rsid w:val="00097A00"/>
    <w:rsid w:val="000A648D"/>
    <w:rsid w:val="000B4EF6"/>
    <w:rsid w:val="000B7821"/>
    <w:rsid w:val="000C27E9"/>
    <w:rsid w:val="000C3555"/>
    <w:rsid w:val="000C5D5A"/>
    <w:rsid w:val="000D58AA"/>
    <w:rsid w:val="000D6CF4"/>
    <w:rsid w:val="000E10A8"/>
    <w:rsid w:val="000E1979"/>
    <w:rsid w:val="000E29ED"/>
    <w:rsid w:val="000E3653"/>
    <w:rsid w:val="000E4B48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772D6"/>
    <w:rsid w:val="0018141F"/>
    <w:rsid w:val="00183EBE"/>
    <w:rsid w:val="00190A89"/>
    <w:rsid w:val="00191343"/>
    <w:rsid w:val="001922B7"/>
    <w:rsid w:val="00192507"/>
    <w:rsid w:val="0019424D"/>
    <w:rsid w:val="001A3CA4"/>
    <w:rsid w:val="001B05AC"/>
    <w:rsid w:val="001B136D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152F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A5596"/>
    <w:rsid w:val="002B3B9B"/>
    <w:rsid w:val="002C113D"/>
    <w:rsid w:val="002C2B87"/>
    <w:rsid w:val="002C5856"/>
    <w:rsid w:val="002C5BA7"/>
    <w:rsid w:val="002D0AF5"/>
    <w:rsid w:val="002D44DD"/>
    <w:rsid w:val="002E4308"/>
    <w:rsid w:val="002E62A6"/>
    <w:rsid w:val="00301F34"/>
    <w:rsid w:val="0030680D"/>
    <w:rsid w:val="0031305A"/>
    <w:rsid w:val="00316809"/>
    <w:rsid w:val="00323DE7"/>
    <w:rsid w:val="00325B0B"/>
    <w:rsid w:val="00326CA7"/>
    <w:rsid w:val="0032783C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C72"/>
    <w:rsid w:val="00374974"/>
    <w:rsid w:val="0037620E"/>
    <w:rsid w:val="00384B79"/>
    <w:rsid w:val="00393340"/>
    <w:rsid w:val="003A2B21"/>
    <w:rsid w:val="003A4C40"/>
    <w:rsid w:val="003A5444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F5A73"/>
    <w:rsid w:val="003F7328"/>
    <w:rsid w:val="00400036"/>
    <w:rsid w:val="00403684"/>
    <w:rsid w:val="004060FF"/>
    <w:rsid w:val="004079EA"/>
    <w:rsid w:val="00407F71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2ECC"/>
    <w:rsid w:val="00536115"/>
    <w:rsid w:val="00546B1C"/>
    <w:rsid w:val="00551C10"/>
    <w:rsid w:val="00554EE9"/>
    <w:rsid w:val="00556649"/>
    <w:rsid w:val="00557F96"/>
    <w:rsid w:val="00562A78"/>
    <w:rsid w:val="005748F1"/>
    <w:rsid w:val="00581C1E"/>
    <w:rsid w:val="005823E9"/>
    <w:rsid w:val="00587B08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F0D4E"/>
    <w:rsid w:val="005F3FC0"/>
    <w:rsid w:val="005F41B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15B9D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3DA7"/>
    <w:rsid w:val="006537E1"/>
    <w:rsid w:val="00654287"/>
    <w:rsid w:val="0065698B"/>
    <w:rsid w:val="006577E2"/>
    <w:rsid w:val="006622AD"/>
    <w:rsid w:val="00671BC8"/>
    <w:rsid w:val="006745D5"/>
    <w:rsid w:val="006775EC"/>
    <w:rsid w:val="00680F90"/>
    <w:rsid w:val="006920A5"/>
    <w:rsid w:val="00697ED1"/>
    <w:rsid w:val="006A537B"/>
    <w:rsid w:val="006B3799"/>
    <w:rsid w:val="006C213D"/>
    <w:rsid w:val="006C364E"/>
    <w:rsid w:val="006C7B41"/>
    <w:rsid w:val="006D571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383"/>
    <w:rsid w:val="0076252F"/>
    <w:rsid w:val="00762CEB"/>
    <w:rsid w:val="007639DF"/>
    <w:rsid w:val="00770533"/>
    <w:rsid w:val="00773752"/>
    <w:rsid w:val="00793109"/>
    <w:rsid w:val="007932BB"/>
    <w:rsid w:val="00797090"/>
    <w:rsid w:val="007A000D"/>
    <w:rsid w:val="007A1D7F"/>
    <w:rsid w:val="007A1D8C"/>
    <w:rsid w:val="007A31A5"/>
    <w:rsid w:val="007B0786"/>
    <w:rsid w:val="007B792A"/>
    <w:rsid w:val="007C228E"/>
    <w:rsid w:val="007C25D7"/>
    <w:rsid w:val="007C4992"/>
    <w:rsid w:val="007C77B4"/>
    <w:rsid w:val="007D15F8"/>
    <w:rsid w:val="007D2B8B"/>
    <w:rsid w:val="007D34E8"/>
    <w:rsid w:val="007D57E5"/>
    <w:rsid w:val="007D6989"/>
    <w:rsid w:val="007E071F"/>
    <w:rsid w:val="007E1207"/>
    <w:rsid w:val="007E35C7"/>
    <w:rsid w:val="007E62F6"/>
    <w:rsid w:val="007F224E"/>
    <w:rsid w:val="007F2ABB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335C"/>
    <w:rsid w:val="00857C43"/>
    <w:rsid w:val="00861DBA"/>
    <w:rsid w:val="00863335"/>
    <w:rsid w:val="008669F9"/>
    <w:rsid w:val="00884675"/>
    <w:rsid w:val="0088501F"/>
    <w:rsid w:val="008864D0"/>
    <w:rsid w:val="0088659C"/>
    <w:rsid w:val="00886DD4"/>
    <w:rsid w:val="00896BF1"/>
    <w:rsid w:val="008A1817"/>
    <w:rsid w:val="008A3076"/>
    <w:rsid w:val="008A700B"/>
    <w:rsid w:val="008A72B2"/>
    <w:rsid w:val="008A7E44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524D"/>
    <w:rsid w:val="008D77CE"/>
    <w:rsid w:val="008D7A5A"/>
    <w:rsid w:val="008E134D"/>
    <w:rsid w:val="008E2520"/>
    <w:rsid w:val="008F03A3"/>
    <w:rsid w:val="008F19A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53C88"/>
    <w:rsid w:val="00954C42"/>
    <w:rsid w:val="00960541"/>
    <w:rsid w:val="00965B31"/>
    <w:rsid w:val="00966921"/>
    <w:rsid w:val="009675F5"/>
    <w:rsid w:val="00967943"/>
    <w:rsid w:val="00971AB2"/>
    <w:rsid w:val="009721B5"/>
    <w:rsid w:val="009879E1"/>
    <w:rsid w:val="00992281"/>
    <w:rsid w:val="00992680"/>
    <w:rsid w:val="00992DC6"/>
    <w:rsid w:val="00995382"/>
    <w:rsid w:val="009960E1"/>
    <w:rsid w:val="009A2F38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6440"/>
    <w:rsid w:val="00A62435"/>
    <w:rsid w:val="00A66473"/>
    <w:rsid w:val="00A70D27"/>
    <w:rsid w:val="00A745F2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60BA"/>
    <w:rsid w:val="00AC0E74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74C7"/>
    <w:rsid w:val="00B21306"/>
    <w:rsid w:val="00B25032"/>
    <w:rsid w:val="00B256F7"/>
    <w:rsid w:val="00B258DB"/>
    <w:rsid w:val="00B3406B"/>
    <w:rsid w:val="00B37286"/>
    <w:rsid w:val="00B41B50"/>
    <w:rsid w:val="00B41C7D"/>
    <w:rsid w:val="00B464D3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6553"/>
    <w:rsid w:val="00B873DF"/>
    <w:rsid w:val="00B95BED"/>
    <w:rsid w:val="00BA2834"/>
    <w:rsid w:val="00BA5473"/>
    <w:rsid w:val="00BB04F5"/>
    <w:rsid w:val="00BB0F23"/>
    <w:rsid w:val="00BB1B71"/>
    <w:rsid w:val="00BB37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706B"/>
    <w:rsid w:val="00C10DDD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57D3"/>
    <w:rsid w:val="00C759BE"/>
    <w:rsid w:val="00C75C51"/>
    <w:rsid w:val="00C766D2"/>
    <w:rsid w:val="00C7739D"/>
    <w:rsid w:val="00C817CC"/>
    <w:rsid w:val="00C83DEC"/>
    <w:rsid w:val="00C87992"/>
    <w:rsid w:val="00CA0EA7"/>
    <w:rsid w:val="00CA1F91"/>
    <w:rsid w:val="00CA7C70"/>
    <w:rsid w:val="00CB170A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428B"/>
    <w:rsid w:val="00D34C3C"/>
    <w:rsid w:val="00D40409"/>
    <w:rsid w:val="00D55190"/>
    <w:rsid w:val="00D63246"/>
    <w:rsid w:val="00D657BD"/>
    <w:rsid w:val="00D65F8D"/>
    <w:rsid w:val="00D756B5"/>
    <w:rsid w:val="00D82816"/>
    <w:rsid w:val="00D84894"/>
    <w:rsid w:val="00D85931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7B4B"/>
    <w:rsid w:val="00DF1AAF"/>
    <w:rsid w:val="00DF30A1"/>
    <w:rsid w:val="00DF4D04"/>
    <w:rsid w:val="00E05F6A"/>
    <w:rsid w:val="00E1075B"/>
    <w:rsid w:val="00E133B3"/>
    <w:rsid w:val="00E13EDC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52F8"/>
    <w:rsid w:val="00E35389"/>
    <w:rsid w:val="00E37798"/>
    <w:rsid w:val="00E37835"/>
    <w:rsid w:val="00E4221F"/>
    <w:rsid w:val="00E5414D"/>
    <w:rsid w:val="00E559AF"/>
    <w:rsid w:val="00E61E93"/>
    <w:rsid w:val="00E64974"/>
    <w:rsid w:val="00E66CD5"/>
    <w:rsid w:val="00E7061D"/>
    <w:rsid w:val="00E90F03"/>
    <w:rsid w:val="00E91336"/>
    <w:rsid w:val="00E91A36"/>
    <w:rsid w:val="00E93486"/>
    <w:rsid w:val="00EA1587"/>
    <w:rsid w:val="00EA6519"/>
    <w:rsid w:val="00EB1A21"/>
    <w:rsid w:val="00EB228A"/>
    <w:rsid w:val="00EB743F"/>
    <w:rsid w:val="00EC4782"/>
    <w:rsid w:val="00ED1341"/>
    <w:rsid w:val="00ED481C"/>
    <w:rsid w:val="00ED53C9"/>
    <w:rsid w:val="00EE11AD"/>
    <w:rsid w:val="00EE1FE2"/>
    <w:rsid w:val="00EE2343"/>
    <w:rsid w:val="00EE3E11"/>
    <w:rsid w:val="00EF0F7A"/>
    <w:rsid w:val="00EF557C"/>
    <w:rsid w:val="00EF5939"/>
    <w:rsid w:val="00EF59D5"/>
    <w:rsid w:val="00F06317"/>
    <w:rsid w:val="00F068AF"/>
    <w:rsid w:val="00F07BB3"/>
    <w:rsid w:val="00F1369A"/>
    <w:rsid w:val="00F15439"/>
    <w:rsid w:val="00F154E1"/>
    <w:rsid w:val="00F15506"/>
    <w:rsid w:val="00F16296"/>
    <w:rsid w:val="00F22648"/>
    <w:rsid w:val="00F26B1C"/>
    <w:rsid w:val="00F27AF2"/>
    <w:rsid w:val="00F27E34"/>
    <w:rsid w:val="00F32ACA"/>
    <w:rsid w:val="00F41ED2"/>
    <w:rsid w:val="00F42177"/>
    <w:rsid w:val="00F4376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C1CB0"/>
    <w:rsid w:val="00FC321B"/>
    <w:rsid w:val="00FC7F9F"/>
    <w:rsid w:val="00FD09BB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8C5721"/>
  <w15:docId w15:val="{1E4CE30D-1D0C-4C1A-B0AE-A4933670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1817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Bělohlavová Hana</cp:lastModifiedBy>
  <cp:revision>8</cp:revision>
  <dcterms:created xsi:type="dcterms:W3CDTF">2024-08-27T13:11:00Z</dcterms:created>
  <dcterms:modified xsi:type="dcterms:W3CDTF">2025-06-03T10:48:00Z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