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566F9EE0" w14:textId="7F520289" w:rsidR="00FD2C09" w:rsidRPr="00141595" w:rsidRDefault="002E459E" w:rsidP="00AB2173">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B70F92">
        <w:rPr>
          <w:rFonts w:ascii="Arial" w:hAnsi="Arial" w:cs="Arial"/>
          <w:b/>
          <w:bCs/>
          <w:sz w:val="32"/>
        </w:rPr>
        <w:t>Náprava opatření PBŘ - Kamýk</w:t>
      </w:r>
      <w:r w:rsidR="0086600E" w:rsidRPr="00141595">
        <w:rPr>
          <w:rFonts w:ascii="Arial" w:hAnsi="Arial" w:cs="Arial"/>
          <w:b/>
          <w:bCs/>
          <w:sz w:val="3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002189C8"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r w:rsidR="00B70F92">
        <w:rPr>
          <w:rFonts w:ascii="Arial" w:hAnsi="Arial" w:cs="Arial"/>
          <w:b/>
          <w:bCs/>
          <w:sz w:val="22"/>
          <w:szCs w:val="22"/>
        </w:rPr>
        <w:tab/>
      </w:r>
      <w:r w:rsidR="00B70F92">
        <w:rPr>
          <w:rFonts w:ascii="Arial" w:hAnsi="Arial" w:cs="Arial"/>
          <w:b/>
          <w:bCs/>
          <w:sz w:val="22"/>
          <w:szCs w:val="22"/>
        </w:rPr>
        <w:tab/>
      </w:r>
      <w:proofErr w:type="spellStart"/>
      <w:r w:rsidR="00B70F92">
        <w:rPr>
          <w:rFonts w:ascii="Arial" w:hAnsi="Arial" w:cs="Arial"/>
          <w:b/>
          <w:bCs/>
          <w:sz w:val="22"/>
          <w:szCs w:val="22"/>
        </w:rPr>
        <w:t>Nalžovický</w:t>
      </w:r>
      <w:proofErr w:type="spellEnd"/>
      <w:r w:rsidR="00B70F92">
        <w:rPr>
          <w:rFonts w:ascii="Arial" w:hAnsi="Arial" w:cs="Arial"/>
          <w:b/>
          <w:bCs/>
          <w:sz w:val="22"/>
          <w:szCs w:val="22"/>
        </w:rPr>
        <w:t xml:space="preserve"> zámek, poskytovatel sociálních služeb</w:t>
      </w:r>
    </w:p>
    <w:p w14:paraId="2D61509C" w14:textId="4AD7303B"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Pr>
          <w:rFonts w:ascii="Arial" w:hAnsi="Arial" w:cs="Arial"/>
          <w:kern w:val="3"/>
          <w:sz w:val="22"/>
          <w:szCs w:val="22"/>
        </w:rPr>
        <w:tab/>
      </w:r>
      <w:r w:rsidR="00B70F92">
        <w:rPr>
          <w:rFonts w:ascii="Arial" w:hAnsi="Arial" w:cs="Arial"/>
          <w:kern w:val="3"/>
          <w:sz w:val="22"/>
          <w:szCs w:val="22"/>
        </w:rPr>
        <w:t>Mgr. Lenkou Sadilovou</w:t>
      </w:r>
    </w:p>
    <w:p w14:paraId="095E462B" w14:textId="0B959228"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70F92">
        <w:rPr>
          <w:rFonts w:ascii="Arial" w:hAnsi="Arial" w:cs="Arial"/>
          <w:bCs/>
          <w:kern w:val="3"/>
          <w:sz w:val="22"/>
          <w:szCs w:val="22"/>
          <w:lang w:bidi="cs-CZ"/>
        </w:rPr>
        <w:t>42727243</w:t>
      </w:r>
    </w:p>
    <w:p w14:paraId="00B69CC4" w14:textId="6CA20C69"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00B70F92">
        <w:rPr>
          <w:rFonts w:ascii="Arial" w:hAnsi="Arial" w:cs="Arial"/>
          <w:bCs/>
          <w:kern w:val="3"/>
          <w:sz w:val="22"/>
          <w:szCs w:val="22"/>
          <w:lang w:bidi="cs-CZ"/>
        </w:rPr>
        <w:t>Nalžovice 14, 262 93 Nalžovice</w:t>
      </w:r>
    </w:p>
    <w:p w14:paraId="78A8C711" w14:textId="20CA2CAD"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r w:rsidR="00B70F92">
        <w:rPr>
          <w:rFonts w:ascii="Arial" w:hAnsi="Arial" w:cs="Arial"/>
          <w:sz w:val="22"/>
          <w:szCs w:val="22"/>
        </w:rPr>
        <w:t>Komerční banka, a.s.</w:t>
      </w:r>
    </w:p>
    <w:p w14:paraId="79270808" w14:textId="67D61E0E"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00B70F92" w:rsidRPr="00B70F92">
        <w:rPr>
          <w:rFonts w:ascii="Arial" w:hAnsi="Arial" w:cs="Arial"/>
          <w:sz w:val="22"/>
          <w:szCs w:val="22"/>
        </w:rPr>
        <w:t>19-7482880267/0100</w:t>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sp.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Dodavatel prohlašuje, že není osobou nebo subjektem</w:t>
      </w:r>
      <w:r w:rsidRPr="00BA2F9A">
        <w:rPr>
          <w:rFonts w:ascii="Arial" w:hAnsi="Arial" w:cs="Arial"/>
          <w:sz w:val="22"/>
          <w:szCs w:val="22"/>
          <w:vertAlign w:val="superscript"/>
        </w:rPr>
        <w:footnoteReference w:customMarkFollows="1" w:id="2"/>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61EF8F92" w14:textId="7A69615F" w:rsidR="00EC7D91" w:rsidRPr="00BA2F9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B70F92">
        <w:rPr>
          <w:b/>
        </w:rPr>
        <w:t>Náprava opatření PBŘ - Kamýk</w:t>
      </w:r>
      <w:r w:rsidR="0086600E" w:rsidRPr="00B722D1">
        <w:rPr>
          <w:b/>
        </w:rPr>
        <w:t>“</w:t>
      </w:r>
      <w:r w:rsidR="002B6831">
        <w:t xml:space="preserve"> </w:t>
      </w:r>
      <w:r w:rsidR="008E72C0" w:rsidRPr="00B722D1">
        <w:t>podle prováděcí projektové dokumentace</w:t>
      </w:r>
      <w:r w:rsidR="00D71E00" w:rsidRPr="00B722D1">
        <w:t xml:space="preserve"> pro provádění stavby</w:t>
      </w:r>
      <w:r w:rsidR="008E72C0" w:rsidRPr="00B722D1">
        <w:t xml:space="preserve"> vč. výkazu výměr, </w:t>
      </w:r>
      <w:r w:rsidR="0071602B" w:rsidRPr="00B722D1">
        <w:t xml:space="preserve">který tvoří přílohu </w:t>
      </w:r>
      <w:r w:rsidR="00EB186C" w:rsidRPr="00B722D1">
        <w:t xml:space="preserve">č. </w:t>
      </w:r>
      <w:r w:rsidR="00B70F92">
        <w:t>4 a 5</w:t>
      </w:r>
      <w:r w:rsidR="00C02048" w:rsidRPr="00B722D1">
        <w:t xml:space="preserve"> </w:t>
      </w:r>
      <w:r w:rsidR="00B70F92">
        <w:t>zadávací dokumentace</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zadávacího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w:t>
      </w:r>
      <w:r w:rsidR="00B70F92">
        <w:rPr>
          <w:rFonts w:cs="Arial"/>
        </w:rPr>
        <w:t>napravení opatření vyplývajících z požárně-bezpečnostního řešení. Jedná se konkrétně o výměnu podlahových krytin za nehořlavé, bourání futer, osazovaní protipožárních dveří a montáže protipožárních zařízení, blíže specifikované v projektové dokumentaci.</w:t>
      </w:r>
    </w:p>
    <w:p w14:paraId="11A21BF2" w14:textId="79F45653" w:rsidR="00BF5553" w:rsidRPr="00BA2F9A" w:rsidRDefault="001D6C1C" w:rsidP="00BA2F9A">
      <w:pPr>
        <w:pStyle w:val="Nadpis2"/>
        <w:rPr>
          <w:rFonts w:eastAsiaTheme="minorHAnsi"/>
        </w:rPr>
      </w:pPr>
      <w:r w:rsidRPr="008C4CBA">
        <w:t xml:space="preserve">Místem plnění </w:t>
      </w:r>
      <w:r w:rsidR="004B5F4D" w:rsidRPr="004B5F4D">
        <w:rPr>
          <w:rFonts w:eastAsia="Calibri"/>
        </w:rPr>
        <w:t>j</w:t>
      </w:r>
      <w:r w:rsidR="00B70F92">
        <w:rPr>
          <w:rFonts w:eastAsiaTheme="minorHAnsi"/>
        </w:rPr>
        <w:t>sou budovy v Kamýku nad Vltavou č.p. 140 a 147</w:t>
      </w:r>
      <w:r w:rsidR="002C3367">
        <w:rPr>
          <w:rFonts w:cs="Arial"/>
          <w:color w:val="000000"/>
          <w:sz w:val="23"/>
          <w:szCs w:val="23"/>
          <w:shd w:val="clear" w:color="auto" w:fill="FFFFFF"/>
        </w:rPr>
        <w:t>,</w:t>
      </w:r>
      <w:r w:rsidR="00C804CB">
        <w:rPr>
          <w:rFonts w:eastAsiaTheme="minorHAnsi"/>
        </w:rPr>
        <w:t xml:space="preserve"> </w:t>
      </w:r>
      <w:r w:rsidR="00B33842" w:rsidRPr="00B33842">
        <w:rPr>
          <w:rFonts w:eastAsia="Calibri"/>
        </w:rPr>
        <w:t>v rozsahu projektové dokumentace a podle uvedeného výkazu výměr a</w:t>
      </w:r>
      <w:r w:rsidR="00B1259E">
        <w:rPr>
          <w:rFonts w:eastAsia="Calibri"/>
        </w:rPr>
        <w:t> </w:t>
      </w:r>
      <w:r w:rsidR="00B33842" w:rsidRPr="00B33842">
        <w:rPr>
          <w:rFonts w:eastAsia="Calibri"/>
        </w:rPr>
        <w:t>požadovaného soupisu prací.</w:t>
      </w:r>
      <w:bookmarkEnd w:id="1"/>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3D1B2919" w14:textId="4CEAA9F5"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průběžná aktualizace harmonogramu provádění prací (v důsledku změn neprodleně, v ost</w:t>
      </w:r>
      <w:r w:rsidR="004932D7" w:rsidRPr="007D21A7">
        <w:rPr>
          <w:rFonts w:ascii="Arial" w:hAnsi="Arial" w:cs="Arial"/>
          <w:sz w:val="22"/>
          <w:szCs w:val="22"/>
        </w:rPr>
        <w:t>atních</w:t>
      </w:r>
      <w:r w:rsidRPr="007D21A7">
        <w:rPr>
          <w:rFonts w:ascii="Arial" w:hAnsi="Arial" w:cs="Arial"/>
          <w:sz w:val="22"/>
          <w:szCs w:val="22"/>
        </w:rPr>
        <w:t xml:space="preserve"> případech každé </w:t>
      </w:r>
      <w:r w:rsidR="00CF5DE1" w:rsidRPr="007D21A7">
        <w:rPr>
          <w:rFonts w:ascii="Arial" w:hAnsi="Arial" w:cs="Arial"/>
          <w:sz w:val="22"/>
          <w:szCs w:val="22"/>
        </w:rPr>
        <w:t>2</w:t>
      </w:r>
      <w:r w:rsidRPr="007D21A7">
        <w:rPr>
          <w:rFonts w:ascii="Arial" w:hAnsi="Arial" w:cs="Arial"/>
          <w:sz w:val="22"/>
          <w:szCs w:val="22"/>
        </w:rPr>
        <w:t xml:space="preserve"> měsíce);</w:t>
      </w:r>
    </w:p>
    <w:p w14:paraId="2013BD63" w14:textId="39BAC8F9"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vypracování kontrolně zkušebního plánu stavby, který bude předán objednateli k</w:t>
      </w:r>
      <w:r w:rsidR="00B1259E">
        <w:rPr>
          <w:rFonts w:ascii="Arial" w:hAnsi="Arial" w:cs="Arial"/>
          <w:sz w:val="22"/>
          <w:szCs w:val="22"/>
        </w:rPr>
        <w:t> </w:t>
      </w:r>
      <w:r w:rsidRPr="007D21A7">
        <w:rPr>
          <w:rFonts w:ascii="Arial" w:hAnsi="Arial" w:cs="Arial"/>
          <w:sz w:val="22"/>
          <w:szCs w:val="22"/>
        </w:rPr>
        <w:t>odsouhlasení do 7 kalendářních dnů od předání staveniště;</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veškeré nutné prostředky ochrany práce;</w:t>
      </w:r>
    </w:p>
    <w:p w14:paraId="51DB318F"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letní opatření;</w:t>
      </w:r>
    </w:p>
    <w:p w14:paraId="610911F0"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zimní opatření;</w:t>
      </w:r>
    </w:p>
    <w:p w14:paraId="34021FF8"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potřebných provizorních přechodů či přejezdů k objektům, včetně případného nutného osvětlení;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70C28BD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216038D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177E71B4"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0ED3312A" w14:textId="2CE26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ostrahy stavby v průběhu realizace</w:t>
      </w:r>
      <w:r w:rsidR="0071555E" w:rsidRPr="007D21A7">
        <w:rPr>
          <w:rFonts w:ascii="Arial" w:hAnsi="Arial" w:cs="Arial"/>
          <w:sz w:val="22"/>
          <w:szCs w:val="22"/>
        </w:rPr>
        <w:t>;</w:t>
      </w:r>
    </w:p>
    <w:p w14:paraId="5711E309" w14:textId="60CD62D4"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vytápěného a osvětleného prostoru vč. možnosti připojení elektrospotřebičů pro stálý stavební dozor objednatele a konání kontrolních dnů</w:t>
      </w:r>
      <w:r w:rsidR="0071555E" w:rsidRPr="007D21A7">
        <w:rPr>
          <w:rFonts w:ascii="Arial" w:hAnsi="Arial" w:cs="Arial"/>
          <w:sz w:val="22"/>
          <w:szCs w:val="22"/>
        </w:rPr>
        <w:t>;</w:t>
      </w:r>
    </w:p>
    <w:p w14:paraId="0E79F913" w14:textId="256CBF31"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předložení technologických postupů k prováděným pracím, a to alespoň 8 dní před zahájením prací;</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AC60D08"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dny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w:t>
      </w:r>
      <w:r w:rsidR="00BD2DE0" w:rsidRPr="008C4CBA">
        <w:lastRenderedPageBreak/>
        <w:t xml:space="preserve">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2363E00D" w14:textId="31576434" w:rsidR="00D01B32" w:rsidRPr="008C4CBA" w:rsidRDefault="0087231C" w:rsidP="000D1C7B">
      <w:pPr>
        <w:pStyle w:val="Nadpis2"/>
      </w:pPr>
      <w:r w:rsidRPr="008C4CBA">
        <w:t xml:space="preserve">Dodavatel </w:t>
      </w:r>
      <w:r w:rsidR="000E102E" w:rsidRPr="008C4CBA">
        <w:t>je povinen pořizovat fotodokumentaci před započetím díla, v jeho průběhu a</w:t>
      </w:r>
      <w:r w:rsidR="000143AF" w:rsidRPr="008C4CBA">
        <w:t> </w:t>
      </w:r>
      <w:r w:rsidR="000E102E" w:rsidRPr="008C4CBA">
        <w:t>po</w:t>
      </w:r>
      <w:r w:rsidR="000143AF" w:rsidRPr="008C4CBA">
        <w:t> </w:t>
      </w:r>
      <w:r w:rsidR="000E102E" w:rsidRPr="008C4CBA">
        <w:t xml:space="preserve">dokončení díla v potřebném rozsahu dle předmětu díla, </w:t>
      </w:r>
      <w:r w:rsidR="008E7386" w:rsidRPr="008C4CBA">
        <w:t>po</w:t>
      </w:r>
      <w:r w:rsidR="000E102E" w:rsidRPr="008C4CBA">
        <w:t xml:space="preserve">dle požadavků objednatele, s digitálním vyznačením data pořízení. Tato fotodokumentace bude součástí předmětu díla a jeho ceny (viz </w:t>
      </w:r>
      <w:r w:rsidR="00557152" w:rsidRPr="008C4CBA">
        <w:t>odst.</w:t>
      </w:r>
      <w:r w:rsidR="00B3156C" w:rsidRPr="008C4CBA">
        <w:t xml:space="preserve"> 1.</w:t>
      </w:r>
      <w:r w:rsidR="00274C71">
        <w:t>7</w:t>
      </w:r>
      <w:r w:rsidR="00755530">
        <w:t xml:space="preserve"> této</w:t>
      </w:r>
      <w:r w:rsidR="00557152" w:rsidRPr="008C4CBA">
        <w:t xml:space="preserve"> </w:t>
      </w:r>
      <w:r w:rsidR="0071602B" w:rsidRPr="008C4CBA">
        <w:t>S</w:t>
      </w:r>
      <w:r w:rsidR="000E102E" w:rsidRPr="008C4CBA">
        <w:t xml:space="preserve">mlouvy). Při vyúčtování každé části ceny díla </w:t>
      </w:r>
      <w:r w:rsidRPr="008C4CBA">
        <w:t xml:space="preserve">dodavatel </w:t>
      </w:r>
      <w:r w:rsidR="000E102E" w:rsidRPr="008C4CBA">
        <w:t xml:space="preserve">přiloží k příslušné faktuře jen přiměřený počet fotografií postihujících průběh zhotovení dané části díla. V případě dílčích faktur tedy bude přiložena </w:t>
      </w:r>
      <w:r w:rsidRPr="008C4CBA">
        <w:t xml:space="preserve">dodavatelem </w:t>
      </w:r>
      <w:r w:rsidR="000E102E" w:rsidRPr="008C4CBA">
        <w:t xml:space="preserve">jen fotodokumentace, která postihuje fakturované položky. V případě těch částí a dodávek díla, které budou v dalším postupu zakryté, nebo se stanou </w:t>
      </w:r>
      <w:r w:rsidR="00EE3224" w:rsidRPr="008C4CBA">
        <w:t>nepřístupnými</w:t>
      </w:r>
      <w:r w:rsidR="000E102E" w:rsidRPr="008C4CBA">
        <w:t xml:space="preserve">, je </w:t>
      </w:r>
      <w:r w:rsidRPr="008C4CBA">
        <w:t xml:space="preserve">dodavatel </w:t>
      </w:r>
      <w:r w:rsidR="000E102E" w:rsidRPr="008C4CBA">
        <w:t>povinen vést podrobnou fotodokumentaci (popř.</w:t>
      </w:r>
      <w:r w:rsidR="00B1259E">
        <w:t> </w:t>
      </w:r>
      <w:r w:rsidR="000E102E" w:rsidRPr="008C4CBA">
        <w:t xml:space="preserve">videozáznam, nebo digitální záznam) postihující detailně všechny tyto části. Fotodokumentaci je povinen </w:t>
      </w:r>
      <w:r w:rsidRPr="008C4CBA">
        <w:t xml:space="preserve">dodavatel </w:t>
      </w:r>
      <w:r w:rsidR="000E102E" w:rsidRPr="008C4CBA">
        <w:t>pořídit rovněž při případném odstranění vad a</w:t>
      </w:r>
      <w:r w:rsidR="00DE69A6" w:rsidRPr="008C4CBA">
        <w:t> </w:t>
      </w:r>
      <w:r w:rsidR="000E102E" w:rsidRPr="008C4CBA">
        <w:t xml:space="preserve">nedodělků díla. V případě, že </w:t>
      </w:r>
      <w:r w:rsidRPr="008C4CBA">
        <w:t xml:space="preserve">dodavatel </w:t>
      </w:r>
      <w:r w:rsidR="000E102E" w:rsidRPr="008C4CBA">
        <w:t>takovou dokumentaci nepovede nebo ji povede v nedostatečné podrobnosti, budou strany v případě sporu o</w:t>
      </w:r>
      <w:r w:rsidR="000D07E0">
        <w:t> </w:t>
      </w:r>
      <w:r w:rsidR="000E102E" w:rsidRPr="008C4CBA">
        <w:t>kvalitu díla nebo jeho konkrétní části vycházet z dokumentace, kterou si pořídí objednatel a její obsah bude pro</w:t>
      </w:r>
      <w:r w:rsidR="00DE69A6" w:rsidRPr="008C4CBA">
        <w:t> </w:t>
      </w:r>
      <w:r w:rsidR="000E102E" w:rsidRPr="008C4CBA">
        <w:t>takový případ stranami považován za nesporný.</w:t>
      </w:r>
    </w:p>
    <w:p w14:paraId="49970FB7" w14:textId="77777777" w:rsidR="000E102E" w:rsidRPr="008C4CBA" w:rsidRDefault="000E102E" w:rsidP="00141595">
      <w:pPr>
        <w:pStyle w:val="Nadpis2"/>
        <w:keepNext/>
      </w:pPr>
      <w:r w:rsidRPr="008C4CBA">
        <w:t xml:space="preserve">Pořízenou fotodokumentaci je </w:t>
      </w:r>
      <w:r w:rsidR="0087231C" w:rsidRPr="008C4CBA">
        <w:t xml:space="preserve">dodavatel </w:t>
      </w:r>
      <w:r w:rsidRPr="008C4CBA">
        <w:t xml:space="preserve">povinen: </w:t>
      </w:r>
    </w:p>
    <w:p w14:paraId="4342B3C6" w14:textId="77777777" w:rsidR="000E102E" w:rsidRPr="008C4CBA"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65DCFC58" w14:textId="2D6F1E08" w:rsidR="00BF5553" w:rsidRPr="000D1C7B"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9C9BB45" w14:textId="77777777" w:rsidR="000E102E" w:rsidRPr="008C4CBA" w:rsidRDefault="000E102E" w:rsidP="000D1C7B">
      <w:pPr>
        <w:pStyle w:val="Nadpis2"/>
      </w:pPr>
      <w:r w:rsidRPr="008C4CBA">
        <w:t>Závaznost dokumentace:</w:t>
      </w:r>
    </w:p>
    <w:p w14:paraId="6AACD0BB" w14:textId="563DBA12" w:rsidR="000E102E" w:rsidRPr="008C4CBA" w:rsidRDefault="000E102E" w:rsidP="00141595">
      <w:pPr>
        <w:spacing w:before="120" w:after="120" w:line="360" w:lineRule="auto"/>
        <w:ind w:left="709"/>
        <w:rPr>
          <w:rFonts w:ascii="Arial" w:hAnsi="Arial" w:cs="Arial"/>
          <w:sz w:val="22"/>
          <w:szCs w:val="22"/>
        </w:rPr>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F741F8">
        <w:rPr>
          <w:rFonts w:ascii="Arial" w:hAnsi="Arial" w:cs="Arial"/>
          <w:bCs/>
          <w:sz w:val="22"/>
          <w:szCs w:val="22"/>
        </w:rPr>
        <w:t>„</w:t>
      </w:r>
      <w:r w:rsidR="005D2A71" w:rsidRPr="00EB0698">
        <w:rPr>
          <w:rFonts w:ascii="Arial" w:hAnsi="Arial"/>
          <w:b/>
          <w:sz w:val="22"/>
          <w:szCs w:val="22"/>
        </w:rPr>
        <w:t>Náprava opatření PBŘ - Kamýk</w:t>
      </w:r>
      <w:r w:rsidR="0092339A" w:rsidRPr="00F741F8">
        <w:rPr>
          <w:rFonts w:ascii="Arial" w:hAnsi="Arial" w:cs="Arial"/>
          <w:bCs/>
          <w:sz w:val="22"/>
          <w:szCs w:val="22"/>
        </w:rPr>
        <w:t>“</w:t>
      </w:r>
      <w:r w:rsidRPr="00F741F8">
        <w:rPr>
          <w:rFonts w:ascii="Arial" w:hAnsi="Arial" w:cs="Arial"/>
          <w:bCs/>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Vyskytnou-li se v průběhu realizace díla </w:t>
      </w:r>
      <w:r w:rsidR="00B8597F" w:rsidRPr="008C4CBA">
        <w:t xml:space="preserve">dodatečné stavební práce, které se nepovažují </w:t>
      </w:r>
      <w:r w:rsidR="00B8597F" w:rsidRPr="008C4CBA">
        <w:lastRenderedPageBreak/>
        <w:t>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t xml:space="preserve">Doba zhotovení díla, </w:t>
      </w:r>
      <w:r w:rsidRPr="000D1C7B">
        <w:t>podmínky</w:t>
      </w:r>
      <w:r w:rsidRPr="00BA2F9A">
        <w:t xml:space="preserve"> pro provádění změn díla</w:t>
      </w:r>
    </w:p>
    <w:p w14:paraId="045245DF" w14:textId="5B0FA5B0" w:rsidR="00DE69A6" w:rsidRPr="008C4CBA" w:rsidRDefault="009F32DE" w:rsidP="009F32DE">
      <w:pPr>
        <w:pStyle w:val="Nadpis2"/>
      </w:pPr>
      <w:r w:rsidRPr="009F32DE">
        <w:t>Dodavatel provede (tj. dokončí a předá) dílo specifikované v odst. 1.</w:t>
      </w:r>
      <w:r w:rsidR="002C3367">
        <w:t>1</w:t>
      </w:r>
      <w:r w:rsidRPr="009F32DE">
        <w:t xml:space="preserve"> a 1.</w:t>
      </w:r>
      <w:r w:rsidR="002C3367">
        <w:t>5</w:t>
      </w:r>
      <w:r w:rsidRPr="009F32DE">
        <w:t xml:space="preserve"> </w:t>
      </w:r>
      <w:r w:rsidR="00755530">
        <w:t>této S</w:t>
      </w:r>
      <w:r w:rsidRPr="009F32DE">
        <w:t xml:space="preserve">mlouvy v termínu do </w:t>
      </w:r>
      <w:r w:rsidR="005D2A71">
        <w:rPr>
          <w:b/>
        </w:rPr>
        <w:t>10</w:t>
      </w:r>
      <w:r w:rsidR="005D2A71">
        <w:t xml:space="preserve"> </w:t>
      </w:r>
      <w:r w:rsidR="0099084D">
        <w:t xml:space="preserve">kalendářních </w:t>
      </w:r>
      <w:r w:rsidR="005D2A71">
        <w:t xml:space="preserve">týdnů </w:t>
      </w:r>
      <w:r w:rsidRPr="009F32DE">
        <w:t>ode dne protokolárního předání staveniště</w:t>
      </w:r>
      <w:r w:rsidR="00CE5FB0">
        <w:t xml:space="preserve"> </w:t>
      </w:r>
      <w:r w:rsidRPr="009F32DE">
        <w:t>a</w:t>
      </w:r>
      <w:r w:rsidR="00B1259E">
        <w:t> </w:t>
      </w:r>
      <w:r w:rsidRPr="009F32DE">
        <w:t xml:space="preserve">v souladu </w:t>
      </w:r>
      <w:r w:rsidR="00AD25BF">
        <w:t>F</w:t>
      </w:r>
      <w:r w:rsidR="00AD25BF" w:rsidRPr="00777802">
        <w:t>inanční</w:t>
      </w:r>
      <w:r w:rsidR="006A4A34">
        <w:t>m</w:t>
      </w:r>
      <w:r w:rsidR="00AD25BF" w:rsidRPr="00777802">
        <w:t xml:space="preserve"> a časový</w:t>
      </w:r>
      <w:r w:rsidR="006A4A34">
        <w:t>m</w:t>
      </w:r>
      <w:r w:rsidR="00AD25BF" w:rsidRPr="00777802">
        <w:t xml:space="preserve"> harmonogram stavby</w:t>
      </w:r>
      <w:r w:rsidR="00AD25BF">
        <w:t xml:space="preserve"> (dále jen „</w:t>
      </w:r>
      <w:r w:rsidR="00AD25BF" w:rsidRPr="00AD25BF">
        <w:rPr>
          <w:b/>
        </w:rPr>
        <w:t>HMG</w:t>
      </w:r>
      <w:r w:rsidR="00AD25BF">
        <w:t>“)</w:t>
      </w:r>
      <w:r w:rsidR="00853D26">
        <w:t>.</w:t>
      </w:r>
    </w:p>
    <w:p w14:paraId="71FCE7A3" w14:textId="14AD21D1" w:rsidR="00BF5553" w:rsidRPr="000D1C7B" w:rsidRDefault="00951B39" w:rsidP="000D1C7B">
      <w:pPr>
        <w:pStyle w:val="Nadpis2"/>
      </w:pPr>
      <w:r w:rsidRPr="008C4CBA">
        <w:t xml:space="preserve">K započetí </w:t>
      </w:r>
      <w:r w:rsidR="00453BDF" w:rsidRPr="00453BDF">
        <w:t>plnění předmětu díla bude dodavatel objednatelem vyzván písemně,</w:t>
      </w:r>
      <w:r w:rsidR="000D07E0">
        <w:t xml:space="preserve"> </w:t>
      </w:r>
      <w:r w:rsidR="00EE5048">
        <w:t xml:space="preserve">např. </w:t>
      </w:r>
      <w:r w:rsidR="00453BDF" w:rsidRPr="00453BDF">
        <w:t>e-</w:t>
      </w:r>
      <w:r w:rsidR="00453BDF">
        <w:t>m</w:t>
      </w:r>
      <w:r w:rsidR="00453BDF" w:rsidRPr="00453BDF">
        <w:t>ailem, a to nejméně 7 kalendářních dnů před požadovaným započetím prací, přičemž dodavatel je povinen potvrdit převzetí této výzvy</w:t>
      </w:r>
      <w:r w:rsidR="00EE5048">
        <w:t xml:space="preserve"> </w:t>
      </w:r>
      <w:r w:rsidR="00453BDF" w:rsidRPr="00453BDF">
        <w:t xml:space="preserve">písemně, </w:t>
      </w:r>
      <w:r w:rsidR="00EE5048">
        <w:t xml:space="preserve">např. </w:t>
      </w:r>
      <w:r w:rsidR="00453BDF" w:rsidRPr="00453BDF">
        <w:t xml:space="preserve">e-mailem, s uvedením přesného data započetí předmětu plnění dle článku </w:t>
      </w:r>
      <w:r w:rsidR="00755530">
        <w:t>1</w:t>
      </w:r>
      <w:r w:rsidR="00453BDF" w:rsidRPr="00453BDF">
        <w:t xml:space="preserve"> této </w:t>
      </w:r>
      <w:r w:rsidR="00F745B6">
        <w:t>S</w:t>
      </w:r>
      <w:r w:rsidR="00453BDF"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8C4CBA" w:rsidRDefault="000E102E" w:rsidP="000D1C7B">
      <w:pPr>
        <w:pStyle w:val="Nadpis2"/>
      </w:pPr>
      <w:r w:rsidRPr="008C4CBA">
        <w:t xml:space="preserve">V případě, že </w:t>
      </w:r>
      <w:r w:rsidR="0087231C" w:rsidRPr="008C4CBA">
        <w:t xml:space="preserve">dodavatel </w:t>
      </w:r>
      <w:r w:rsidRPr="008C4CBA">
        <w:t>začne provádět dílo bez písemné výzvy popsané v</w:t>
      </w:r>
      <w:r w:rsidR="00CE21BB" w:rsidRPr="008C4CBA">
        <w:t> </w:t>
      </w:r>
      <w:r w:rsidR="004932D7" w:rsidRPr="008C4CBA">
        <w:t>odst.</w:t>
      </w:r>
      <w:r w:rsidRPr="008C4CBA">
        <w:t xml:space="preserve"> 2.2</w:t>
      </w:r>
      <w:r w:rsidR="00755530">
        <w:t xml:space="preserve"> této</w:t>
      </w:r>
      <w:r w:rsidR="0071602B" w:rsidRPr="008C4CBA">
        <w:t xml:space="preserve"> S</w:t>
      </w:r>
      <w:r w:rsidRPr="008C4CBA">
        <w:t>mlouvy,</w:t>
      </w:r>
      <w:r w:rsidR="00DC296B" w:rsidRPr="008C4CBA">
        <w:t xml:space="preserve"> </w:t>
      </w:r>
      <w:r w:rsidRPr="008C4CBA">
        <w:t xml:space="preserve">nese </w:t>
      </w:r>
      <w:r w:rsidR="00C9403A">
        <w:t xml:space="preserve">dodavatel </w:t>
      </w:r>
      <w:r w:rsidRPr="008C4CBA">
        <w:t>náklady na práce a dodávky takto provedené sám a</w:t>
      </w:r>
      <w:r w:rsidR="00F125FF">
        <w:t> </w:t>
      </w:r>
      <w:r w:rsidRPr="008C4CBA">
        <w:t>objednatel není povinen jejich cenu ani náklady takto vynaložené hradit.</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5AB33BFA" w14:textId="19E970FF" w:rsidR="008D2A9B" w:rsidRPr="004624F1" w:rsidRDefault="00DD732B" w:rsidP="000D1C7B">
      <w:pPr>
        <w:pStyle w:val="Nadpis2"/>
      </w:pPr>
      <w:r w:rsidRPr="004624F1">
        <w:t>Provádění díla se v rámci zimního období přerušuje po dobu trvání nevhodných klimatických podmínek zamezující provádění díla. Po tuto dobu neběží term</w:t>
      </w:r>
      <w:r w:rsidR="00DB3FA2" w:rsidRPr="004624F1">
        <w:t>ín pro dokončení díla dle S</w:t>
      </w:r>
      <w:r w:rsidRPr="003B3847">
        <w:t>mlouvy.</w:t>
      </w:r>
      <w:r w:rsidR="00F67F3A" w:rsidRPr="003B3847">
        <w:t xml:space="preserve"> Oznámení o nutnosti přerušení provádění dle tohoto odstavce musí být provedeno neprodleně, do tří pracovních dnů od momentu, kdy se dodavatel o nutnosti přerušení provádění díla dozvěděl, a to písemně nebo elektronicky.</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živelná katastrofa nebo válečný konflikt. Musí se jednat o zásadní, jednorázové a nikoli běžné okolnosti nebo </w:t>
      </w:r>
      <w:r w:rsidRPr="00755530">
        <w:rPr>
          <w:rFonts w:ascii="Arial" w:hAnsi="Arial" w:cs="Arial"/>
          <w:sz w:val="22"/>
          <w:szCs w:val="22"/>
        </w:rPr>
        <w:lastRenderedPageBreak/>
        <w:t xml:space="preserve">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mlouvy, dále prokazatelně doložit okamžik vzniku 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třicet (</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ust.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lastRenderedPageBreak/>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4E782802"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jako cena 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4AD6A546"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lastRenderedPageBreak/>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odlišné od dokumentace předané objednatelem (neodpovídající geologické údaje,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5E3039D9" w:rsidR="00AE39E6" w:rsidRPr="002D62C0" w:rsidRDefault="0005053B" w:rsidP="000D1C7B">
      <w:pPr>
        <w:pStyle w:val="Nadpis2"/>
      </w:pPr>
      <w:r w:rsidRPr="0005053B">
        <w:t xml:space="preserve">Realizované práce a dodávky budou dodavatelem účtovány objednateli na základě skutečně řádně provedených prací a dodávek písemně odsouhlasených </w:t>
      </w:r>
      <w:r w:rsidR="00294C2D">
        <w:t>TDS</w:t>
      </w:r>
      <w:r w:rsidRPr="0005053B">
        <w:t>, a to fakturami, které budou splňovat náležitosti daňového dokladu dle platných obecně závazných právních předpisů, tj. dle zákona o </w:t>
      </w:r>
      <w:r w:rsidR="00D7386B">
        <w:t>DPH</w:t>
      </w:r>
      <w:r w:rsidR="00294C2D">
        <w:t>,</w:t>
      </w:r>
      <w:r w:rsidRPr="0005053B">
        <w:t xml:space="preserve"> a bude v nich uveden název </w:t>
      </w:r>
      <w:r w:rsidRPr="00F741F8">
        <w:lastRenderedPageBreak/>
        <w:t>„</w:t>
      </w:r>
      <w:r w:rsidR="005D2A71">
        <w:t>Náprava opatření PBŘ - Kamýk</w:t>
      </w:r>
      <w:r w:rsidRPr="00F741F8">
        <w:t>“,</w:t>
      </w:r>
      <w:r w:rsidRPr="0005053B">
        <w:rPr>
          <w:b/>
        </w:rPr>
        <w:t xml:space="preserve"> </w:t>
      </w:r>
      <w:r w:rsidRPr="0005053B">
        <w:t>Nedílnou součástí každé faktury musí být soupis provedených prací a dodávek za kalendářní měsíc,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5D2B974B" w14:textId="7D429F1B" w:rsidR="00EE2C6B" w:rsidRDefault="007E4C79" w:rsidP="000D1C7B">
      <w:pPr>
        <w:pStyle w:val="Nadpis2"/>
      </w:pPr>
      <w:r w:rsidRPr="007E4C79">
        <w:t>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w:t>
      </w:r>
      <w:r w:rsidR="00F125FF">
        <w:t> </w:t>
      </w:r>
      <w:r w:rsidRPr="007E4C79">
        <w:t>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w:t>
      </w:r>
      <w:r w:rsidR="00F125FF">
        <w:t> </w:t>
      </w:r>
      <w:r w:rsidRPr="007E4C79">
        <w:t xml:space="preserve">nedodělků, a zároveň předání bankovní záruky dle čl. </w:t>
      </w:r>
      <w:r w:rsidR="00755530">
        <w:t>14</w:t>
      </w:r>
      <w:r w:rsidRPr="007E4C79">
        <w:t xml:space="preserve">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050326C3" w14:textId="3967F641" w:rsidR="00EE2C6B" w:rsidRPr="007E4C79" w:rsidRDefault="00D7386B" w:rsidP="000D1C7B">
      <w:pPr>
        <w:pStyle w:val="Nadpis2"/>
      </w:pPr>
      <w:r>
        <w:t>Pozastávka</w:t>
      </w:r>
      <w:r w:rsidR="007E4C79" w:rsidRPr="007E4C79">
        <w:t>, dohodnut</w:t>
      </w:r>
      <w:r>
        <w:t>á</w:t>
      </w:r>
      <w:r w:rsidR="007E4C79" w:rsidRPr="007E4C79">
        <w:t xml:space="preserve"> podle podmínek předešlého bodu smlouvy, může být po vzájemné dohodě smluvních stran nahrazen</w:t>
      </w:r>
      <w:r>
        <w:t>a</w:t>
      </w:r>
      <w:r w:rsidR="007E4C79" w:rsidRPr="007E4C79">
        <w:t xml:space="preserve"> bankovní zárukou ve stejné výši. Dodavatel v termínu před provedením úhrady 90 % celkové ceny díla poskytne objednateli originál záruční listiny ve výši zádržného, platné do termínu předání a</w:t>
      </w:r>
      <w:r w:rsidR="00F125FF">
        <w:t> </w:t>
      </w:r>
      <w:r w:rsidR="007E4C79" w:rsidRPr="007E4C79">
        <w:t>převzetí díla, prodloužené do termínu odstranění vad a nedodělků z protokolu o</w:t>
      </w:r>
      <w:r w:rsidR="00F125FF">
        <w:t> </w:t>
      </w:r>
      <w:r w:rsidR="007E4C79" w:rsidRPr="007E4C79">
        <w:t xml:space="preserve">předání a převzetí díla. Finanční ústav v záruční listině potvrdí, že uhradí objednateli částku až do výše </w:t>
      </w:r>
      <w:r>
        <w:t>pozastávky</w:t>
      </w:r>
      <w:r w:rsidRPr="007E4C79">
        <w:t xml:space="preserve"> </w:t>
      </w:r>
      <w:r w:rsidR="007E4C79" w:rsidRPr="007E4C79">
        <w:t xml:space="preserve">dohodnuté ve smlouvě, jestliže dodavatel nesplní své </w:t>
      </w:r>
      <w:r>
        <w:t>povinnosti</w:t>
      </w:r>
      <w:r w:rsidRPr="007E4C79">
        <w:t xml:space="preserve"> </w:t>
      </w:r>
      <w:r w:rsidR="007E4C79" w:rsidRPr="007E4C79">
        <w:t>spojené s dokončením díla a odstraněním vad a nedodělků z protokolu o</w:t>
      </w:r>
      <w:r w:rsidR="00F125FF">
        <w:t> </w:t>
      </w:r>
      <w:r w:rsidR="007E4C79" w:rsidRPr="007E4C79">
        <w:t>předání a převzetí díla. Objednatel pozbývá nárok z bankovní záruky dnem podpisu protokolu o odstranění poslední vady nebo nedodělku</w:t>
      </w:r>
      <w:r>
        <w:t>, resp. podpisem protokolu o</w:t>
      </w:r>
      <w:r w:rsidR="00F125FF">
        <w:t> </w:t>
      </w:r>
      <w:r>
        <w:t>převzetí díla, bude-li přebíráno bez vad a nedodělků</w:t>
      </w:r>
      <w:r w:rsidR="007E4C79" w:rsidRPr="007E4C79">
        <w:t>.</w:t>
      </w:r>
    </w:p>
    <w:p w14:paraId="3D9EF4E9" w14:textId="57A3984D" w:rsidR="00F741F8" w:rsidRDefault="0039284F" w:rsidP="000D1C7B">
      <w:pPr>
        <w:pStyle w:val="Nadpis2"/>
      </w:pPr>
      <w:r w:rsidRPr="0039284F">
        <w:lastRenderedPageBreak/>
        <w:t xml:space="preserve">Faktura je splatná ve lhůtě 30 kalendářních dnů od jejího vystavení, přičemž musí být </w:t>
      </w:r>
      <w:r w:rsidR="00294C2D">
        <w:t>o</w:t>
      </w:r>
      <w:r w:rsidRPr="0039284F">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7FEEE7D3" w14:textId="59F6206A" w:rsidR="000E102E" w:rsidRPr="008C4CBA" w:rsidRDefault="006A7429" w:rsidP="000D1C7B">
      <w:pPr>
        <w:pStyle w:val="Nadpis2"/>
      </w:pPr>
      <w:r w:rsidRPr="006A7429">
        <w:t>Objednatel je oprávněn pozastavit úhradu kterékoliv platby v průběhu zhotovování díla, jestliže je dodavatel v prodlení s dokončením díla nebo jeho částí oproti termínům, uvedeným v odst. 2.1</w:t>
      </w:r>
      <w:r w:rsidR="00755530">
        <w:t xml:space="preserve"> této </w:t>
      </w:r>
      <w:r w:rsidR="005A3082">
        <w:t>S</w:t>
      </w:r>
      <w:r w:rsidRPr="006A7429">
        <w:t xml:space="preserve">mlouvy a </w:t>
      </w:r>
      <w:r w:rsidR="00AD25BF">
        <w:t>HMG</w:t>
      </w:r>
      <w:r w:rsidRPr="006A7429">
        <w:t>, popřípadě pokud je dodavatel v prodlení s</w:t>
      </w:r>
      <w:r w:rsidR="00F125FF">
        <w:t> </w:t>
      </w:r>
      <w:r w:rsidRPr="006A7429">
        <w:t>odstraněním zjištěných vad a</w:t>
      </w:r>
      <w:r w:rsidR="00403E32">
        <w:t> </w:t>
      </w:r>
      <w:r w:rsidRPr="006A7429">
        <w:t>nedodělků díla nebo jestliže je dodavatel v prodlení s</w:t>
      </w:r>
      <w:r w:rsidR="00F125FF">
        <w:t> </w:t>
      </w:r>
      <w:r w:rsidRPr="006A7429">
        <w:t xml:space="preserve">plněním peněžitého </w:t>
      </w:r>
      <w:r w:rsidR="00D7386B">
        <w:t>dluhu</w:t>
      </w:r>
      <w:r w:rsidR="00D7386B" w:rsidRPr="006A7429">
        <w:t xml:space="preserve"> </w:t>
      </w:r>
      <w:r w:rsidRPr="006A7429">
        <w:t xml:space="preserve">vůči </w:t>
      </w:r>
      <w:r w:rsidR="00D7386B">
        <w:t>objednateli.</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ust.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Dále se zavazuje předložit ke kontrole výše uvedeným kontrolním orgánům veškerou provozní a účetní 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w:t>
      </w:r>
      <w:r w:rsidR="004C4DCC" w:rsidRPr="004C4DCC">
        <w:lastRenderedPageBreak/>
        <w:t>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7201B045" w14:textId="635F7CCE" w:rsidR="00153122" w:rsidRDefault="00777802" w:rsidP="00C549C5">
      <w:pPr>
        <w:pStyle w:val="Nadpis2"/>
      </w:pPr>
      <w:r w:rsidRPr="00777802">
        <w:t xml:space="preserve">Dodavatel předloží </w:t>
      </w:r>
      <w:r w:rsidR="00AD25BF">
        <w:t xml:space="preserve">při podpisu Smlouvy </w:t>
      </w:r>
      <w:r w:rsidRPr="00777802">
        <w:t xml:space="preserve">objednateli </w:t>
      </w:r>
      <w:r w:rsidR="006A4A34">
        <w:rPr>
          <w:b/>
        </w:rPr>
        <w:t>HMG</w:t>
      </w:r>
      <w:r w:rsidR="007800DD" w:rsidRPr="007800DD">
        <w:t xml:space="preserve"> provádění stavebních prací</w:t>
      </w:r>
      <w:r w:rsidRPr="00777802">
        <w:t xml:space="preserve">, který určí objem čerpání finančních prostředků na jednotlivé měsíce, rozložený po měsících. Tento finanční a časový harmonogram tvoří nedílnou součást </w:t>
      </w:r>
      <w:r w:rsidR="005A3082">
        <w:t>S</w:t>
      </w:r>
      <w:r w:rsidRPr="00777802">
        <w:t xml:space="preserve">mlouvy o dílo jako Příloha č. 1 této </w:t>
      </w:r>
      <w:r w:rsidR="005A3082">
        <w:t>S</w:t>
      </w:r>
      <w:r w:rsidRPr="00777802">
        <w:t xml:space="preserve">mlouvy. Objem finančních prostředků </w:t>
      </w:r>
      <w:r w:rsidR="007800DD">
        <w:t xml:space="preserve">uvedený </w:t>
      </w:r>
      <w:r w:rsidRPr="00777802">
        <w:t>v</w:t>
      </w:r>
      <w:r w:rsidR="007800DD">
        <w:t> </w:t>
      </w:r>
      <w:r w:rsidR="006A4A34">
        <w:t xml:space="preserve">HMG </w:t>
      </w:r>
      <w:r w:rsidRPr="00777802">
        <w:t>nepřekročí celkovou smluvní cenu díla</w:t>
      </w:r>
      <w:r w:rsidR="000E102E" w:rsidRPr="008C4CBA">
        <w:t>.</w:t>
      </w:r>
    </w:p>
    <w:p w14:paraId="43FD64A5" w14:textId="2625E85B" w:rsidR="00BB100E" w:rsidRPr="000D1C7B" w:rsidRDefault="00EE2C6B" w:rsidP="000D1C7B">
      <w:pPr>
        <w:pStyle w:val="Nadpis2"/>
      </w:pPr>
      <w:r>
        <w:t xml:space="preserve"> Pokud by </w:t>
      </w:r>
      <w:r w:rsidRPr="003E713E">
        <w:t>překročení provedených částí díla a souvisejícího objemu ročního čerpání finančních prostředků znamenalo dřívější termín ukončení realizace díla, mohou se smluvní strany písemně dohodnout na odpovídající změně HMG</w:t>
      </w:r>
      <w:r>
        <w:t>.</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5DF268D8" w:rsidR="000E102E" w:rsidRPr="008C4CBA" w:rsidRDefault="000E102E" w:rsidP="000D1C7B">
      <w:pPr>
        <w:pStyle w:val="Nadpis2"/>
      </w:pPr>
      <w:r w:rsidRPr="008C4CBA">
        <w:t xml:space="preserve">Objednatel předá </w:t>
      </w:r>
      <w:r w:rsidR="00126AE4" w:rsidRPr="008C4CBA">
        <w:t xml:space="preserve">dodavateli </w:t>
      </w:r>
      <w:r w:rsidRPr="008C4CBA">
        <w:t xml:space="preserve">staveniště do 3 dnů po odeslání výzvy dle </w:t>
      </w:r>
      <w:r w:rsidR="00A80DD4" w:rsidRPr="008C4CBA">
        <w:t>odst.</w:t>
      </w:r>
      <w:r w:rsidR="000F090B" w:rsidRPr="008C4CBA">
        <w:t xml:space="preserve"> 2.2 </w:t>
      </w:r>
      <w:r w:rsidR="00755530">
        <w:t xml:space="preserve">této </w:t>
      </w:r>
      <w:r w:rsidR="00C13811" w:rsidRPr="008C4CBA">
        <w:t>S</w:t>
      </w:r>
      <w:r w:rsidRPr="008C4CBA">
        <w:t>mlouvy, a to na základě prohlídky prostoru staveniště a oboustranně podepsaného písemného protokolu oprávněnými zástupci obou smluvních stran.</w:t>
      </w:r>
    </w:p>
    <w:p w14:paraId="258EF619" w14:textId="4FBB57F7" w:rsidR="000E102E" w:rsidRPr="008C4CBA" w:rsidRDefault="00C24B17" w:rsidP="000D1C7B">
      <w:pPr>
        <w:pStyle w:val="Nadpis2"/>
      </w:pPr>
      <w:r w:rsidRPr="00C24B17">
        <w:lastRenderedPageBreak/>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t>.</w:t>
      </w:r>
    </w:p>
    <w:p w14:paraId="74354BFF" w14:textId="528A604E" w:rsidR="000E102E" w:rsidRPr="008C4CBA" w:rsidRDefault="00126AE4" w:rsidP="000D1C7B">
      <w:pPr>
        <w:pStyle w:val="Nadpis2"/>
      </w:pPr>
      <w:r w:rsidRPr="008C4CBA">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739A7AA8"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projektové dokumentaci či dalších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w:t>
      </w:r>
      <w:r w:rsidR="000E102E" w:rsidRPr="008C4CBA">
        <w:lastRenderedPageBreak/>
        <w:t xml:space="preserve">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7BB808A6" w14:textId="233DD092" w:rsidR="000E102E" w:rsidRPr="00BA2F9A" w:rsidRDefault="00586C81" w:rsidP="000D1C7B">
      <w:pPr>
        <w:pStyle w:val="Nadpis2"/>
      </w:pPr>
      <w:r w:rsidRPr="00586C81">
        <w:t xml:space="preserve">Dodavatel je povinen zajistit v rámci zařízení staveniště podmínky pro výkon funkce autorského dozoru projektanta a </w:t>
      </w:r>
      <w:r w:rsidR="00AD25BF">
        <w:t>TDS</w:t>
      </w:r>
      <w:r w:rsidRPr="00586C81">
        <w:t xml:space="preserve">, případně </w:t>
      </w:r>
      <w:r w:rsidR="00AB6609">
        <w:t xml:space="preserve">pro </w:t>
      </w:r>
      <w:r w:rsidRPr="00586C81">
        <w:t>činnost koordinátora bezpečnosti a</w:t>
      </w:r>
      <w:r w:rsidR="00F125FF">
        <w:t> </w:t>
      </w:r>
      <w:r w:rsidRPr="00586C81">
        <w:t>ochrany zdraví při práci na staveništi, a to v přiměřeném rozsahu</w:t>
      </w:r>
      <w:r w:rsidR="000E102E"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7FD408EA" w:rsidR="00AA1921" w:rsidRPr="008C4CBA" w:rsidRDefault="00AA1921" w:rsidP="00415244">
      <w:pPr>
        <w:pStyle w:val="Nadpis2"/>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3A67CC">
        <w:rPr>
          <w:b/>
          <w:bCs w:val="0"/>
        </w:rPr>
        <w:t>oprávnění zástupci objednatele</w:t>
      </w:r>
      <w:r w:rsidRPr="008C4CBA">
        <w:t xml:space="preserve">“) </w:t>
      </w:r>
      <w:r w:rsidR="00A76DFC" w:rsidRPr="008C4CBA">
        <w:t>je</w:t>
      </w:r>
      <w:r w:rsidRPr="008C4CBA">
        <w:t>:</w:t>
      </w:r>
      <w:r w:rsidR="00CD70C8">
        <w:t xml:space="preserve"> </w:t>
      </w:r>
      <w:r w:rsidR="00CD70C8" w:rsidRPr="00EB0698">
        <w:rPr>
          <w:b/>
          <w:bCs w:val="0"/>
        </w:rPr>
        <w:t>Daniel Mašek</w:t>
      </w:r>
    </w:p>
    <w:p w14:paraId="13922081" w14:textId="4D1F0F7D" w:rsidR="003A67CC" w:rsidRDefault="00720D20" w:rsidP="000D1C7B">
      <w:pPr>
        <w:ind w:left="709"/>
        <w:rPr>
          <w:rFonts w:ascii="Arial" w:hAnsi="Arial" w:cs="Arial"/>
          <w:sz w:val="22"/>
          <w:szCs w:val="22"/>
        </w:rPr>
      </w:pPr>
      <w:r w:rsidRPr="00720D20">
        <w:rPr>
          <w:rFonts w:ascii="Arial" w:hAnsi="Arial" w:cs="Arial"/>
          <w:sz w:val="22"/>
          <w:szCs w:val="22"/>
        </w:rPr>
        <w:t>e</w:t>
      </w:r>
      <w:r w:rsidR="003A67CC">
        <w:rPr>
          <w:rFonts w:ascii="Arial" w:hAnsi="Arial" w:cs="Arial"/>
          <w:sz w:val="22"/>
          <w:szCs w:val="22"/>
        </w:rPr>
        <w:t>-</w:t>
      </w:r>
      <w:r w:rsidRPr="00720D20">
        <w:rPr>
          <w:rFonts w:ascii="Arial" w:hAnsi="Arial" w:cs="Arial"/>
          <w:sz w:val="22"/>
          <w:szCs w:val="22"/>
        </w:rPr>
        <w:t xml:space="preserve">mail: </w:t>
      </w:r>
      <w:r w:rsidR="00CD70C8">
        <w:rPr>
          <w:rFonts w:ascii="Arial" w:hAnsi="Arial" w:cs="Arial"/>
          <w:sz w:val="22"/>
          <w:szCs w:val="22"/>
        </w:rPr>
        <w:t>masek@domov-nalzovice.cz</w:t>
      </w:r>
    </w:p>
    <w:p w14:paraId="419AA0B3" w14:textId="54BC82CF" w:rsidR="007B44CD" w:rsidRPr="00E8159D" w:rsidRDefault="00720D20" w:rsidP="00F125FF">
      <w:pPr>
        <w:spacing w:after="120"/>
        <w:ind w:left="709"/>
        <w:rPr>
          <w:rFonts w:ascii="Arial" w:hAnsi="Arial" w:cs="Arial"/>
          <w:sz w:val="22"/>
          <w:szCs w:val="22"/>
        </w:rPr>
      </w:pPr>
      <w:r w:rsidRPr="00720D20">
        <w:rPr>
          <w:rFonts w:ascii="Arial" w:hAnsi="Arial" w:cs="Arial"/>
          <w:sz w:val="22"/>
          <w:szCs w:val="22"/>
        </w:rPr>
        <w:t>tel</w:t>
      </w:r>
      <w:r w:rsidR="003A67CC">
        <w:rPr>
          <w:rFonts w:ascii="Arial" w:hAnsi="Arial" w:cs="Arial"/>
          <w:sz w:val="22"/>
          <w:szCs w:val="22"/>
        </w:rPr>
        <w:t>.</w:t>
      </w:r>
      <w:r w:rsidRPr="00720D20">
        <w:rPr>
          <w:rFonts w:ascii="Arial" w:hAnsi="Arial" w:cs="Arial"/>
          <w:sz w:val="22"/>
          <w:szCs w:val="22"/>
        </w:rPr>
        <w:t xml:space="preserve">: </w:t>
      </w:r>
      <w:r w:rsidR="00CD70C8" w:rsidRPr="00CD70C8">
        <w:rPr>
          <w:rFonts w:ascii="Arial" w:hAnsi="Arial" w:cs="Arial"/>
          <w:sz w:val="22"/>
          <w:szCs w:val="22"/>
        </w:rPr>
        <w:t>724 341 806</w:t>
      </w:r>
    </w:p>
    <w:p w14:paraId="76D88813" w14:textId="258B603A" w:rsidR="00747067" w:rsidRPr="000D1C7B" w:rsidRDefault="00747067" w:rsidP="00DD367D">
      <w:pPr>
        <w:pStyle w:val="Nadpis2"/>
        <w:spacing w:before="240"/>
      </w:pPr>
      <w:r w:rsidRPr="00184BC5">
        <w:t>Oprávnění zástupci objednatele jsou oprávněni jednat za objednatele ve věcech technických a ve věcech, které tato smlouva výslovně stanoví. Není</w:t>
      </w:r>
      <w:r w:rsidR="00F125FF">
        <w:t>-</w:t>
      </w:r>
      <w:r w:rsidRPr="00184BC5">
        <w:t xml:space="preserve">li touto </w:t>
      </w:r>
      <w:r w:rsidR="00F125FF">
        <w:t>S</w:t>
      </w:r>
      <w:r w:rsidRPr="00184BC5">
        <w:t>mlouvou stanoveno jinak, nejsou oprávnění zástupci objednatele oprávnění činit jménem žádného z objednatelů právní úkony.</w:t>
      </w:r>
    </w:p>
    <w:p w14:paraId="4BDBC432" w14:textId="7B28232E" w:rsidR="000406CC" w:rsidRPr="000D1C7B" w:rsidRDefault="00747067" w:rsidP="000D1C7B">
      <w:pPr>
        <w:autoSpaceDE w:val="0"/>
        <w:autoSpaceDN w:val="0"/>
        <w:spacing w:before="120" w:after="120" w:line="360" w:lineRule="auto"/>
        <w:ind w:left="709"/>
        <w:rPr>
          <w:rFonts w:ascii="Arial" w:hAnsi="Arial" w:cs="Arial"/>
          <w:iCs/>
          <w:sz w:val="22"/>
          <w:szCs w:val="22"/>
        </w:rPr>
      </w:pPr>
      <w:r w:rsidRPr="00E8159D">
        <w:rPr>
          <w:rFonts w:ascii="Arial" w:hAnsi="Arial" w:cs="Arial"/>
          <w:iCs/>
          <w:sz w:val="22"/>
          <w:szCs w:val="22"/>
        </w:rPr>
        <w:t xml:space="preserve">Ve věcech smluvních zastupuje objednatele </w:t>
      </w:r>
      <w:r w:rsidR="00CD70C8" w:rsidRPr="00EB0698">
        <w:rPr>
          <w:rFonts w:ascii="Arial" w:hAnsi="Arial" w:cs="Arial"/>
          <w:b/>
          <w:bCs/>
          <w:kern w:val="3"/>
          <w:sz w:val="22"/>
          <w:szCs w:val="22"/>
        </w:rPr>
        <w:t>Mgr. Lenka Sadilová</w:t>
      </w:r>
    </w:p>
    <w:p w14:paraId="67217177" w14:textId="595FFDB4"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4C4C2F2D" w14:textId="39F60704" w:rsidR="003A67CC" w:rsidRDefault="00065C66"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Pr>
          <w:rFonts w:ascii="Arial" w:hAnsi="Arial" w:cs="Arial"/>
          <w:iCs/>
          <w:sz w:val="22"/>
          <w:szCs w:val="22"/>
        </w:rPr>
        <w:t>Ve věcech technických zastupuje dodavatele:</w:t>
      </w:r>
      <w:r w:rsidR="00EE2C6B" w:rsidRPr="00EE2C6B">
        <w:rPr>
          <w:rFonts w:ascii="Arial" w:hAnsi="Arial" w:cs="Arial"/>
          <w:sz w:val="22"/>
          <w:szCs w:val="22"/>
        </w:rPr>
        <w:t xml:space="preserve">: </w:t>
      </w:r>
    </w:p>
    <w:p w14:paraId="50EC5317" w14:textId="38FFE6F6" w:rsidR="004258DD" w:rsidRPr="00184BC5" w:rsidRDefault="00EE2C6B" w:rsidP="003A67CC">
      <w:pPr>
        <w:pStyle w:val="Odstavecseseznamem"/>
        <w:autoSpaceDE w:val="0"/>
        <w:autoSpaceDN w:val="0"/>
        <w:spacing w:before="120" w:after="120" w:line="360" w:lineRule="auto"/>
        <w:ind w:left="1276"/>
        <w:rPr>
          <w:rFonts w:ascii="Arial" w:hAnsi="Arial" w:cs="Arial"/>
          <w:sz w:val="22"/>
          <w:szCs w:val="22"/>
        </w:rPr>
      </w:pPr>
      <w:r w:rsidRPr="00184BC5">
        <w:rPr>
          <w:rFonts w:ascii="Arial" w:hAnsi="Arial" w:cs="Arial"/>
          <w:sz w:val="22"/>
          <w:szCs w:val="22"/>
        </w:rPr>
        <w:t>[</w:t>
      </w:r>
      <w:r w:rsidRPr="00184BC5">
        <w:rPr>
          <w:rFonts w:ascii="Arial" w:hAnsi="Arial" w:cs="Arial"/>
          <w:sz w:val="22"/>
          <w:szCs w:val="22"/>
          <w:highlight w:val="yellow"/>
        </w:rPr>
        <w:t>k doplnění, vč. tel. kontaktů, emailových adres]</w:t>
      </w:r>
    </w:p>
    <w:p w14:paraId="4E59295E" w14:textId="77777777" w:rsidR="003A67CC" w:rsidRDefault="00184BC5"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5E436225" w14:textId="7A9201BA" w:rsidR="00184BC5" w:rsidRDefault="00184BC5" w:rsidP="003A67CC">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4E3EDC70" w14:textId="78D2C038" w:rsidR="006D7586" w:rsidRDefault="00BB3E38" w:rsidP="00415244">
      <w:pPr>
        <w:pStyle w:val="Nadpis2"/>
        <w:rPr>
          <w:b/>
        </w:rPr>
      </w:pPr>
      <w:r w:rsidRPr="00184BC5">
        <w:t xml:space="preserve">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7E9FE1A0" w:rsidR="005A636C" w:rsidRPr="00415244" w:rsidRDefault="005A636C" w:rsidP="00415244">
      <w:pPr>
        <w:pStyle w:val="Nadpis2"/>
      </w:pPr>
      <w:r w:rsidRPr="005A636C">
        <w:lastRenderedPageBreak/>
        <w:t xml:space="preserve">Při provádění díla postupuje dodavatel samostatně a dílo provádí v souladu </w:t>
      </w:r>
      <w:r w:rsidR="003A4311">
        <w:t>s</w:t>
      </w:r>
      <w:r w:rsidR="00F125FF">
        <w:t> </w:t>
      </w:r>
      <w:r w:rsidRPr="005A636C">
        <w:t xml:space="preserve">projektovou dokumentací a dalšími podklady, uvedenými v článku </w:t>
      </w:r>
      <w:r w:rsidR="00755530">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5294B64F" w:rsidR="00D145ED" w:rsidRPr="00415244" w:rsidRDefault="00ED7F2D" w:rsidP="00415244">
      <w:pPr>
        <w:pStyle w:val="Nadpis2"/>
      </w:pPr>
      <w:r w:rsidRPr="00ED7F2D">
        <w:t>Dodavatel prohlašuje, že má k dispozici jedno vyhotovení projektové dokumentace pro provádění stavby vč.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lastRenderedPageBreak/>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lastRenderedPageBreak/>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415244"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lastRenderedPageBreak/>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t>Dodavatel se dále zavazuje, že poskytne objednateli součinnost, aby objednatel mohl dostát svým povinnostem dle § 219 ZZVZ.</w:t>
      </w:r>
    </w:p>
    <w:p w14:paraId="06579E79" w14:textId="0C21FE12" w:rsidR="005A636C" w:rsidRPr="00D60E7C" w:rsidRDefault="005A636C" w:rsidP="00D60E7C">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nedojde z důvodů na straně dodavatele, prodlouží se o dobu přerušení provádění díla </w:t>
      </w:r>
      <w:r w:rsidRPr="005A636C">
        <w:lastRenderedPageBreak/>
        <w:t>a</w:t>
      </w:r>
      <w:r w:rsidR="00F125FF">
        <w:t> </w:t>
      </w:r>
      <w:r w:rsidRPr="005A636C">
        <w:t xml:space="preserve">dalších 7 dní termín dokončení díla. Objednatel je rovněž oprávněn kdykoliv snížit rozsah prováděného díla o konkrétní položky a části. </w:t>
      </w:r>
    </w:p>
    <w:p w14:paraId="5B5465BA" w14:textId="148D838F" w:rsidR="005A636C" w:rsidRPr="005A636C" w:rsidRDefault="005A636C" w:rsidP="00415244">
      <w:pPr>
        <w:pStyle w:val="Nadpis2"/>
      </w:pPr>
      <w:r w:rsidRPr="005A636C">
        <w:t>Dodavatel zajistí, že osoby uvedené dodavatelem v </w:t>
      </w:r>
      <w:r w:rsidR="00BB462F" w:rsidRPr="00BB462F">
        <w:t>seznam</w:t>
      </w:r>
      <w:r w:rsidR="00BB462F">
        <w:t>u</w:t>
      </w:r>
      <w:r w:rsidR="00BB462F" w:rsidRPr="00BB462F">
        <w:t xml:space="preserve"> techniků nebo technických útvarů</w:t>
      </w:r>
      <w:r w:rsidR="001C5AE9">
        <w:t xml:space="preserve"> (viz příloha č. </w:t>
      </w:r>
      <w:r w:rsidR="00155838">
        <w:t>5</w:t>
      </w:r>
      <w:r w:rsidR="001C5AE9">
        <w:t xml:space="preserve"> této Smlouvy)</w:t>
      </w:r>
      <w:r w:rsidR="00BB462F" w:rsidRPr="00BB462F">
        <w:t>, které se budou podílet na plnění veřejné zakázky</w:t>
      </w:r>
      <w:r w:rsidR="00BB462F">
        <w:t>,</w:t>
      </w:r>
      <w:r w:rsidRPr="005A636C">
        <w:t xml:space="preserve">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t>,</w:t>
      </w:r>
      <w:r w:rsidR="004B636D" w:rsidRPr="004B636D">
        <w:t xml:space="preserve"> </w:t>
      </w:r>
      <w:r w:rsidR="004B636D">
        <w:t xml:space="preserve">a to pouze pokud tato osoba </w:t>
      </w:r>
      <w:r w:rsidR="004B636D" w:rsidRPr="005A636C">
        <w:t>bude splňovat kvalifikační p</w:t>
      </w:r>
      <w:r w:rsidR="004B636D">
        <w:t>ožadavky</w:t>
      </w:r>
      <w:r w:rsidR="00BB462F">
        <w:t xml:space="preserve"> minimálně v rozsahu</w:t>
      </w:r>
      <w:r w:rsidR="004B636D">
        <w:t>,</w:t>
      </w:r>
      <w:r w:rsidR="00BB462F">
        <w:t xml:space="preserve"> ve</w:t>
      </w:r>
      <w:r w:rsidR="004B636D">
        <w:t xml:space="preserve"> které</w:t>
      </w:r>
      <w:r w:rsidR="00BB462F">
        <w:t>m je</w:t>
      </w:r>
      <w:r w:rsidR="004B636D">
        <w:t xml:space="preserve"> splňovala nahrazovaná osoba.</w:t>
      </w:r>
    </w:p>
    <w:p w14:paraId="70099213" w14:textId="2F7AFF34" w:rsidR="000E102E" w:rsidRPr="00BA2F9A" w:rsidRDefault="005A636C" w:rsidP="00415244">
      <w:pPr>
        <w:pStyle w:val="Nadpis2"/>
      </w:pPr>
      <w:r w:rsidRPr="005A636C">
        <w:t>Při provádění díla bude</w:t>
      </w:r>
      <w:r w:rsidR="00BB462F">
        <w:t xml:space="preserve"> na staveništi</w:t>
      </w:r>
      <w:r w:rsidRPr="005A636C">
        <w:t xml:space="preserve"> vždy v době od 8:00 do 16:00 přítomen</w:t>
      </w:r>
      <w:r w:rsidR="004F6124">
        <w:t xml:space="preserve"> hlavní stavbyvedoucí</w:t>
      </w:r>
      <w:r w:rsidRPr="005A636C">
        <w:t xml:space="preserve"> </w:t>
      </w:r>
      <w:r w:rsidR="00B83EC4">
        <w:t xml:space="preserve">nebo </w:t>
      </w:r>
      <w:r w:rsidRPr="005A636C">
        <w:t>zástupce stavbyvedoucího.</w:t>
      </w:r>
    </w:p>
    <w:p w14:paraId="3F8D1D9C" w14:textId="52332924" w:rsidR="000E102E" w:rsidRPr="00415244" w:rsidRDefault="000E102E" w:rsidP="00415244">
      <w:pPr>
        <w:pStyle w:val="Nadpis1"/>
        <w:ind w:left="709" w:hanging="709"/>
      </w:pPr>
      <w:r w:rsidRPr="00BA2F9A">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304F103E" w14:textId="5E92D1D4" w:rsidR="009D29D5" w:rsidRPr="00415244" w:rsidRDefault="00B54170" w:rsidP="00415244">
      <w:pPr>
        <w:pStyle w:val="Nadpis2"/>
      </w:pPr>
      <w:r>
        <w:t>K</w:t>
      </w:r>
      <w:r w:rsidR="009D29D5" w:rsidRPr="009D29D5">
        <w:t xml:space="preserve">opie pojistné smlouvy (pojistných smluv) dodavatele, resp. akceptované návrhy na uzavření pojistné smlouvy ze strany pojišťovny dle tohoto článku musí být </w:t>
      </w:r>
      <w:r w:rsidR="009F2387">
        <w:t>předloženy</w:t>
      </w:r>
      <w:r w:rsidR="009F2387" w:rsidRPr="009D29D5">
        <w:t xml:space="preserve"> </w:t>
      </w:r>
      <w:r w:rsidR="009D29D5" w:rsidRPr="009D29D5">
        <w:t xml:space="preserve">objednateli nejpozději při převzetí staveniště. Na žádost objednatele je dodavatel povinen kdykoliv později předložit uspokojivé doklady o tom, že pojistná smlouva (pojistné smlouvy) uzavřené dodavatelem </w:t>
      </w:r>
      <w:r w:rsidR="009F2387">
        <w:t>existují</w:t>
      </w:r>
      <w:r w:rsidR="009F2387" w:rsidRPr="009D29D5">
        <w:t xml:space="preserve"> </w:t>
      </w:r>
      <w:r w:rsidR="009D29D5" w:rsidRPr="009D29D5">
        <w:t>a zůstávají v platnosti</w:t>
      </w:r>
      <w:r w:rsidR="000E102E" w:rsidRPr="008C4CBA">
        <w:t>.</w:t>
      </w:r>
    </w:p>
    <w:p w14:paraId="5E5103B1" w14:textId="3CB6A100" w:rsidR="000E102E" w:rsidRPr="00BA2F9A" w:rsidRDefault="009D29D5" w:rsidP="00415244">
      <w:pPr>
        <w:pStyle w:val="Nadpis2"/>
        <w:rPr>
          <w:rFonts w:cs="Arial"/>
          <w:szCs w:val="22"/>
        </w:rPr>
      </w:pPr>
      <w:r w:rsidRPr="00B05320">
        <w:rPr>
          <w:rFonts w:cs="Arial"/>
          <w:szCs w:val="22"/>
        </w:rPr>
        <w:t xml:space="preserve">Dodavatel je povinen řádně platit pojistné tak, aby pojistná smlouva či smlouvy sjednané </w:t>
      </w:r>
      <w:r w:rsidRPr="00415244">
        <w:rPr>
          <w:rStyle w:val="Nadpis2Char"/>
        </w:rPr>
        <w:t xml:space="preserve">dle této </w:t>
      </w:r>
      <w:r w:rsidR="000D07E0" w:rsidRPr="00415244">
        <w:rPr>
          <w:rStyle w:val="Nadpis2Char"/>
        </w:rPr>
        <w:t>S</w:t>
      </w:r>
      <w:r w:rsidRPr="00415244">
        <w:rPr>
          <w:rStyle w:val="Nadpis2Char"/>
        </w:rPr>
        <w:t>mlouvy či v souvislosti s ní byly platné po celou dobu provádění díla a</w:t>
      </w:r>
      <w:r w:rsidR="00403E32" w:rsidRPr="00415244">
        <w:rPr>
          <w:rStyle w:val="Nadpis2Char"/>
        </w:rPr>
        <w:t> </w:t>
      </w:r>
      <w:r w:rsidRPr="00415244">
        <w:rPr>
          <w:rStyle w:val="Nadpis2Char"/>
        </w:rPr>
        <w:t>v</w:t>
      </w:r>
      <w:r w:rsidR="00403E32" w:rsidRPr="00415244">
        <w:rPr>
          <w:rStyle w:val="Nadpis2Char"/>
        </w:rPr>
        <w:t> </w:t>
      </w:r>
      <w:r w:rsidRPr="00415244">
        <w:rPr>
          <w:rStyle w:val="Nadpis2Char"/>
        </w:rPr>
        <w:t>přiměřeném rozsahu i po dobu záruky. V případě, že dojde k zániku pojištění, je dodavatel povinen o této skutečnosti neprodleně informovat objednatele a ve lhůtě 3</w:t>
      </w:r>
      <w:r w:rsidR="00403E32" w:rsidRPr="00415244">
        <w:rPr>
          <w:rStyle w:val="Nadpis2Char"/>
        </w:rPr>
        <w:t> </w:t>
      </w:r>
      <w:r w:rsidRPr="00415244">
        <w:rPr>
          <w:rStyle w:val="Nadpis2Char"/>
        </w:rPr>
        <w:t xml:space="preserve">pracovních dnů uzavřít pojistnou smlouvu ve výše uvedeném rozsahu. </w:t>
      </w:r>
    </w:p>
    <w:p w14:paraId="6CC576FA" w14:textId="5CCDB3CE" w:rsidR="00C91C72" w:rsidRPr="00BA2F9A" w:rsidRDefault="000E102E" w:rsidP="00415244">
      <w:pPr>
        <w:pStyle w:val="Nadpis1"/>
        <w:ind w:left="709" w:hanging="709"/>
      </w:pPr>
      <w:r w:rsidRPr="00BA2F9A">
        <w:lastRenderedPageBreak/>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Smlouvy</w:t>
      </w:r>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lastRenderedPageBreak/>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lastRenderedPageBreak/>
        <w:t xml:space="preserve">Nároky z odpovědnosti ze záruky za jakost díla se nedotýkají nároků na náhradu škody nebo na smluvní </w:t>
      </w:r>
      <w:r w:rsidRPr="00F125FF">
        <w:t>pokutu.</w:t>
      </w:r>
    </w:p>
    <w:p w14:paraId="2B3CA29C" w14:textId="77777777" w:rsidR="000E102E" w:rsidRPr="00BA2F9A" w:rsidRDefault="000E102E" w:rsidP="00415244">
      <w:pPr>
        <w:pStyle w:val="Nadpis1"/>
        <w:ind w:left="709" w:hanging="709"/>
      </w:pPr>
      <w:r w:rsidRPr="00BA2F9A">
        <w:t xml:space="preserve">Výpověď, </w:t>
      </w:r>
      <w:r w:rsidRPr="00415244">
        <w:t>Odstoupení</w:t>
      </w:r>
      <w:r w:rsidRPr="00BA2F9A">
        <w:t xml:space="preserve"> od smlouvy</w:t>
      </w:r>
    </w:p>
    <w:p w14:paraId="62ADF113" w14:textId="2A2D0233" w:rsidR="000E102E" w:rsidRPr="00415244" w:rsidRDefault="000E102E" w:rsidP="00415244">
      <w:pPr>
        <w:pStyle w:val="Nadpis2"/>
      </w:pPr>
      <w:r w:rsidRPr="008C4CBA">
        <w:t>Objednatel</w:t>
      </w:r>
      <w:r w:rsidR="00D168EF" w:rsidRPr="008C4CBA">
        <w:t xml:space="preserve"> je dále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2" w:name="_Ref374723827"/>
      <w:r w:rsidRPr="008C4CBA">
        <w:t>Objednatel je d</w:t>
      </w:r>
      <w:r w:rsidR="00D168EF" w:rsidRPr="008C4CBA">
        <w:t>ále oprávněn odstoupit od této S</w:t>
      </w:r>
      <w:r w:rsidRPr="008C4CBA">
        <w:t xml:space="preserve">mlouvy, jestliže zjistí, že </w:t>
      </w:r>
      <w:bookmarkEnd w:id="2"/>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příslušná hygienická stanice,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lastRenderedPageBreak/>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2249302A" w14:textId="38356591"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jestliže dodavatel bez vážného důvodu po dobu delší než čtrnáct kalendářních dnů přerušil provádění Díla a nejedná se o případ přerušení provádě</w:t>
      </w:r>
      <w:r w:rsidR="00B05320" w:rsidRPr="00B05320">
        <w:rPr>
          <w:rFonts w:ascii="Arial" w:hAnsi="Arial" w:cs="Arial"/>
          <w:sz w:val="22"/>
          <w:szCs w:val="22"/>
        </w:rPr>
        <w:t>ní Díla dle odst.</w:t>
      </w:r>
      <w:r w:rsidR="00587407">
        <w:rPr>
          <w:rFonts w:ascii="Arial" w:hAnsi="Arial" w:cs="Arial"/>
          <w:sz w:val="22"/>
          <w:szCs w:val="22"/>
        </w:rPr>
        <w:t> </w:t>
      </w:r>
      <w:r w:rsidR="00B05320" w:rsidRPr="00B05320">
        <w:rPr>
          <w:rFonts w:ascii="Arial" w:hAnsi="Arial" w:cs="Arial"/>
          <w:sz w:val="22"/>
          <w:szCs w:val="22"/>
        </w:rPr>
        <w:t>2.5</w:t>
      </w:r>
      <w:r w:rsidRPr="00B05320">
        <w:rPr>
          <w:rFonts w:ascii="Arial" w:hAnsi="Arial" w:cs="Arial"/>
          <w:sz w:val="22"/>
          <w:szCs w:val="22"/>
        </w:rPr>
        <w:t xml:space="preserve"> či dle odst. 8.15</w:t>
      </w:r>
      <w:r w:rsidR="00A26096">
        <w:rPr>
          <w:rFonts w:ascii="Arial" w:hAnsi="Arial" w:cs="Arial"/>
          <w:sz w:val="22"/>
          <w:szCs w:val="22"/>
        </w:rPr>
        <w:t xml:space="preserve"> této</w:t>
      </w:r>
      <w:r w:rsidRPr="00B05320">
        <w:rPr>
          <w:rFonts w:ascii="Arial" w:hAnsi="Arial" w:cs="Arial"/>
          <w:sz w:val="22"/>
          <w:szCs w:val="22"/>
        </w:rPr>
        <w:t xml:space="preserve"> Smlouvy;</w:t>
      </w:r>
    </w:p>
    <w:p w14:paraId="6CC98343" w14:textId="64959306"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této 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w:t>
      </w:r>
      <w:r w:rsidRPr="008C4CBA">
        <w:lastRenderedPageBreak/>
        <w:t xml:space="preserve">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7DC4A0B0" w14:textId="6D3F0380" w:rsidR="00BA35A1" w:rsidRPr="008C4CBA" w:rsidRDefault="003B3847" w:rsidP="008E00F1">
      <w:pPr>
        <w:pStyle w:val="Nadpis2"/>
      </w:pPr>
      <w:r>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t>Smluvní pokuta za nedodržení stanovené lhůty pro odstranění reklamovaných vad v období záruční lhůty, které brání řádnému užívání díla</w:t>
      </w:r>
      <w:r w:rsidR="008643B7">
        <w:t>,</w:t>
      </w:r>
      <w:r w:rsidRPr="008C4CBA">
        <w:t xml:space="preserve"> nebo hrozí nebezpečí škody </w:t>
      </w:r>
      <w:r w:rsidRPr="008C4CBA">
        <w:lastRenderedPageBreak/>
        <w:t>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3C12DE98" w14:textId="75023FB1" w:rsidR="00153122" w:rsidRPr="00153122" w:rsidRDefault="00153122" w:rsidP="00C549C5">
      <w:pPr>
        <w:pStyle w:val="Nadpis2"/>
      </w:pPr>
      <w:r w:rsidRPr="00153122">
        <w:t xml:space="preserve">Smluvní pokuta za nedodržení povinnosti </w:t>
      </w:r>
      <w:r>
        <w:t xml:space="preserve">zajištění </w:t>
      </w:r>
      <w:r w:rsidRPr="00153122">
        <w:t xml:space="preserve">přítomnosti hlavního stavbyvedoucí nebo zástupce stavbyvedoucího na staveništi </w:t>
      </w:r>
      <w:r>
        <w:t xml:space="preserve">při </w:t>
      </w:r>
      <w:r w:rsidRPr="00153122">
        <w:t xml:space="preserve">vždy v době od 8:00 do 16:00 </w:t>
      </w:r>
      <w:r>
        <w:t>podle odst. 8.24</w:t>
      </w:r>
      <w:r w:rsidRPr="003B3847">
        <w:t xml:space="preserve">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od uplynutí 10</w:t>
      </w:r>
      <w:r w:rsidR="000D07E0">
        <w:t xml:space="preserve"> </w:t>
      </w:r>
      <w:r w:rsidR="003F5870" w:rsidRPr="003F5870">
        <w:t>denní lhůty po obdržení finančních prostředků od poskytovatele dotace</w:t>
      </w:r>
      <w:r w:rsidRPr="008C4CBA">
        <w:t>.</w:t>
      </w:r>
    </w:p>
    <w:p w14:paraId="07CD06E5" w14:textId="3250A487" w:rsidR="00574CB9" w:rsidRDefault="000E102E" w:rsidP="008E00F1">
      <w:pPr>
        <w:pStyle w:val="Nadpis2"/>
      </w:pPr>
      <w:r w:rsidRPr="008C4CBA">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lastRenderedPageBreak/>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0B4452CC" w14:textId="3D7AD5B8" w:rsidR="00D86A0D" w:rsidRPr="008E00F1" w:rsidRDefault="00D86A0D" w:rsidP="008E00F1">
      <w:pPr>
        <w:pStyle w:val="Nadpis1"/>
        <w:ind w:left="709" w:hanging="709"/>
      </w:pPr>
      <w:r w:rsidRPr="008E00F1">
        <w:t xml:space="preserve">Bankovní záruka </w:t>
      </w:r>
    </w:p>
    <w:p w14:paraId="5DB7DA1E" w14:textId="24F5D3F3" w:rsidR="00D86A0D" w:rsidRPr="008E00F1" w:rsidRDefault="00D86A0D" w:rsidP="008E00F1">
      <w:pPr>
        <w:pStyle w:val="Nadpis2"/>
      </w:pPr>
      <w:r w:rsidRPr="008C4CBA">
        <w:t>Dodavatel poskytne při podpisu protokolu o předání a převzetí díl</w:t>
      </w:r>
      <w:r w:rsidR="008A5AA9" w:rsidRPr="008C4CBA">
        <w:t>a objednateli bankovní záruku, v minimální</w:t>
      </w:r>
      <w:r w:rsidRPr="008C4CBA">
        <w:t xml:space="preserve"> výši </w:t>
      </w:r>
      <w:r w:rsidR="00465CC2" w:rsidRPr="008C4CBA">
        <w:rPr>
          <w:b/>
        </w:rPr>
        <w:t>5</w:t>
      </w:r>
      <w:r w:rsidR="009D6DB4" w:rsidRPr="008C4CBA">
        <w:rPr>
          <w:b/>
        </w:rPr>
        <w:t xml:space="preserve"> % z celkové ceny </w:t>
      </w:r>
      <w:r w:rsidR="00F76B20" w:rsidRPr="008C4CBA">
        <w:rPr>
          <w:b/>
        </w:rPr>
        <w:t xml:space="preserve">díla </w:t>
      </w:r>
      <w:r w:rsidR="008A5AA9" w:rsidRPr="008C4CBA">
        <w:t>bez DPH uvedené v odst. 3.1</w:t>
      </w:r>
      <w:r w:rsidR="00A26096">
        <w:t xml:space="preserve"> této</w:t>
      </w:r>
      <w:r w:rsidR="008A5AA9" w:rsidRPr="008C4CBA">
        <w:t xml:space="preserve"> Smlouvy,</w:t>
      </w:r>
      <w:r w:rsidR="00D51358" w:rsidRPr="008C4CBA">
        <w:rPr>
          <w:b/>
        </w:rPr>
        <w:t xml:space="preserve"> </w:t>
      </w:r>
      <w:r w:rsidRPr="008C4CBA">
        <w:t xml:space="preserve">za řádné odstranění vad uplatněných objednatelem vůči </w:t>
      </w:r>
      <w:r w:rsidR="00620CE1" w:rsidRPr="008C4CBA">
        <w:t>d</w:t>
      </w:r>
      <w:r w:rsidRPr="008C4CBA">
        <w:t>odavateli z titulu odpovědnosti za vady díla v záruční době. Bankovní záruka musí být platná minimálně po celou dobu záruční doby.</w:t>
      </w:r>
    </w:p>
    <w:p w14:paraId="7F69F16F" w14:textId="3C1AC88F" w:rsidR="00D86A0D" w:rsidRPr="008C4CBA" w:rsidRDefault="00D86A0D" w:rsidP="008E00F1">
      <w:pPr>
        <w:pStyle w:val="Nadpis2"/>
      </w:pPr>
      <w:r w:rsidRPr="008C4CBA">
        <w:t xml:space="preserve">Právo z bankovní záruky je objednatel oprávněn uplatnit v případech, že </w:t>
      </w:r>
      <w:r w:rsidR="00620CE1" w:rsidRPr="008C4CBA">
        <w:t>d</w:t>
      </w:r>
      <w:r w:rsidRPr="008C4CBA">
        <w:t>odavatel nebude plnit své povinnosti vyplývající ze z</w:t>
      </w:r>
      <w:r w:rsidR="00EE534B" w:rsidRPr="008C4CBA">
        <w:t>áruky za dílo, ke kterým je ze S</w:t>
      </w:r>
      <w:r w:rsidRPr="008C4CBA">
        <w:t>mlouvy povinen.</w:t>
      </w:r>
    </w:p>
    <w:p w14:paraId="1E6031A0" w14:textId="1C5744DD" w:rsidR="00D86A0D" w:rsidRPr="008C4CBA" w:rsidRDefault="00D86A0D" w:rsidP="008E00F1">
      <w:pPr>
        <w:pStyle w:val="Nadpis2"/>
      </w:pPr>
      <w:r w:rsidRPr="008C4CBA">
        <w:t xml:space="preserve">Před uplatněním plnění z bankovní záruky oznámí objednatel písemně </w:t>
      </w:r>
      <w:r w:rsidR="00620CE1" w:rsidRPr="008C4CBA">
        <w:t>d</w:t>
      </w:r>
      <w:r w:rsidRPr="008C4CBA">
        <w:t xml:space="preserve">odavateli výši požadovaného plnění ze strany banky. Dodavatel je povinen doručit objednateli novou záruční listinu ve znění shodném s předchozí záruční listinou, v původní výši nejpozději do 7 </w:t>
      </w:r>
      <w:r w:rsidR="00E112E3">
        <w:t>pracovních</w:t>
      </w:r>
      <w:r w:rsidRPr="008C4CBA">
        <w:t xml:space="preserve"> dnů od jejího úplného vyčerpání. Bankovní záruka bude uvolněna objednatelem do 10 dnů po uplynutí záruční</w:t>
      </w:r>
      <w:r w:rsidR="004C46DC">
        <w:t xml:space="preserve"> doby a vypořádání všech závazků</w:t>
      </w:r>
      <w:r w:rsidRPr="008C4CBA">
        <w:t xml:space="preserve"> mezi </w:t>
      </w:r>
      <w:r w:rsidR="00620CE1" w:rsidRPr="008C4CBA">
        <w:t>d</w:t>
      </w:r>
      <w:r w:rsidRPr="008C4CBA">
        <w:t>odavatelem a objednatelem.</w:t>
      </w:r>
    </w:p>
    <w:p w14:paraId="5ADFFDAE" w14:textId="77777777" w:rsidR="00D86A0D" w:rsidRPr="008C4CBA" w:rsidRDefault="00D86A0D" w:rsidP="008E00F1">
      <w:pPr>
        <w:pStyle w:val="Nadpis2"/>
      </w:pPr>
      <w:r w:rsidRPr="008C4CBA">
        <w:t xml:space="preserve">Bankovní záruka zajišťuje řádné odstranění vad uplatněných objednatelem vůči </w:t>
      </w:r>
      <w:r w:rsidR="00620CE1" w:rsidRPr="008C4CBA">
        <w:t>d</w:t>
      </w:r>
      <w:r w:rsidRPr="008C4CBA">
        <w:t>odavateli z titulu odpovědnosti za vady díla v záruční době, přičemž platí, že:</w:t>
      </w:r>
    </w:p>
    <w:p w14:paraId="5E13D0F4" w14:textId="77777777" w:rsidR="00D86A0D" w:rsidRPr="008C4CBA"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543C4411" w14:textId="4B3AC134" w:rsidR="00D86A0D" w:rsidRPr="008E00F1"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nepředložení bankovní záruky v požadovaném termínu je důvodem k nepřevzetí dokončeného díla a uplatnění sankcí pro nedodržení termínu dokončení a předání díla.</w:t>
      </w:r>
    </w:p>
    <w:p w14:paraId="1A65CD23" w14:textId="19F50DCC" w:rsidR="000E102E" w:rsidRPr="00BA2F9A" w:rsidRDefault="00D86A0D" w:rsidP="008E00F1">
      <w:pPr>
        <w:pStyle w:val="Nadpis2"/>
      </w:pPr>
      <w:r w:rsidRPr="008C4CBA">
        <w:t>Náklady na poskytnutí bankovní záruky a veškeré další výdaje vzniklé v souvislosti s</w:t>
      </w:r>
      <w:r w:rsidR="00F125FF">
        <w:t> </w:t>
      </w:r>
      <w:r w:rsidRPr="008C4CBA">
        <w:t xml:space="preserve">plněním povinností dle tohoto článku nese </w:t>
      </w:r>
      <w:r w:rsidR="00620CE1" w:rsidRPr="008C4CBA">
        <w:t>d</w:t>
      </w:r>
      <w:r w:rsidRPr="008C4CBA">
        <w:t>odavatel.</w:t>
      </w:r>
    </w:p>
    <w:p w14:paraId="72B486F9" w14:textId="2C74C99A" w:rsidR="00AE6BF0" w:rsidRPr="008E00F1" w:rsidRDefault="000E102E" w:rsidP="008E00F1">
      <w:pPr>
        <w:pStyle w:val="Nadpis1"/>
        <w:ind w:left="709" w:hanging="709"/>
      </w:pPr>
      <w:r w:rsidRPr="008E00F1">
        <w:lastRenderedPageBreak/>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74D0CD0F" w14:textId="1B327FDC" w:rsidR="00EE256A" w:rsidRPr="008C4CBA" w:rsidRDefault="006B1A51" w:rsidP="008E00F1">
      <w:pPr>
        <w:pStyle w:val="Nadpis2"/>
      </w:pPr>
      <w:r w:rsidRPr="008C4CBA">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lastRenderedPageBreak/>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5980270B"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Pr="008768A9">
        <w:rPr>
          <w:rFonts w:ascii="Arial" w:hAnsi="Arial" w:cs="Arial"/>
          <w:sz w:val="22"/>
          <w:szCs w:val="22"/>
        </w:rPr>
        <w:t>Harmonogram plnění</w:t>
      </w:r>
    </w:p>
    <w:p w14:paraId="5BDF9CA4" w14:textId="1221E081"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Pr="008768A9">
        <w:rPr>
          <w:rFonts w:ascii="Arial" w:hAnsi="Arial" w:cs="Arial"/>
          <w:sz w:val="22"/>
          <w:szCs w:val="22"/>
        </w:rPr>
        <w:t>Formulář pro ohlášení změn</w:t>
      </w:r>
      <w:r w:rsidR="004C5432">
        <w:rPr>
          <w:rFonts w:ascii="Arial" w:hAnsi="Arial" w:cs="Arial"/>
          <w:sz w:val="22"/>
          <w:szCs w:val="22"/>
        </w:rPr>
        <w:t xml:space="preserve"> stavby</w:t>
      </w:r>
    </w:p>
    <w:p w14:paraId="2C8934B1" w14:textId="7881D96D"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Oceněný výkaz výměr</w:t>
      </w:r>
    </w:p>
    <w:p w14:paraId="06E40183" w14:textId="7E899F9D"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Seznam poddodavatelů</w:t>
      </w:r>
    </w:p>
    <w:p w14:paraId="2B1C64F4" w14:textId="0923B9D5" w:rsidR="00F125FF" w:rsidRPr="00F125FF" w:rsidRDefault="00F125FF" w:rsidP="00155838">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2E607CB9"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B37676C"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271AAE3F" w14:textId="4741477E" w:rsidR="00A863C2" w:rsidRPr="00A863C2" w:rsidRDefault="00A863C2" w:rsidP="00A863C2">
            <w:pPr>
              <w:autoSpaceDE w:val="0"/>
              <w:jc w:val="center"/>
              <w:rPr>
                <w:rFonts w:ascii="Arial" w:hAnsi="Arial" w:cs="Arial"/>
                <w:bCs/>
                <w:sz w:val="22"/>
                <w:szCs w:val="22"/>
              </w:rPr>
            </w:pP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220396C9" w14:textId="77777777" w:rsidR="00A863C2" w:rsidRDefault="00A863C2" w:rsidP="00A863C2">
      <w:pPr>
        <w:spacing w:line="276" w:lineRule="auto"/>
        <w:rPr>
          <w:rFonts w:ascii="Arial" w:hAnsi="Arial" w:cs="Arial"/>
          <w:b/>
          <w:bCs/>
          <w:sz w:val="22"/>
          <w:szCs w:val="22"/>
        </w:rPr>
      </w:pPr>
    </w:p>
    <w:p w14:paraId="0A6B26DB" w14:textId="77777777" w:rsidR="00A863C2" w:rsidRDefault="00A863C2" w:rsidP="00A863C2">
      <w:pPr>
        <w:spacing w:line="276" w:lineRule="auto"/>
        <w:rPr>
          <w:rFonts w:ascii="Arial" w:hAnsi="Arial" w:cs="Arial"/>
          <w:b/>
          <w:bCs/>
          <w:sz w:val="22"/>
          <w:szCs w:val="22"/>
        </w:rPr>
        <w:sectPr w:rsidR="00A863C2" w:rsidSect="006F1479">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2127" w:right="1276" w:bottom="1242" w:left="1418" w:header="709" w:footer="709" w:gutter="0"/>
          <w:pgNumType w:start="1"/>
          <w:cols w:space="708"/>
          <w:docGrid w:linePitch="360"/>
        </w:sectPr>
      </w:pPr>
    </w:p>
    <w:p w14:paraId="3D39A8D7" w14:textId="77777777"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1:</w:t>
      </w:r>
    </w:p>
    <w:p w14:paraId="282C3606" w14:textId="77777777"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 xml:space="preserve">Harmonogram plnění </w:t>
      </w:r>
    </w:p>
    <w:p w14:paraId="6B04FD34" w14:textId="680F25DB" w:rsidR="00A863C2" w:rsidRPr="00155838" w:rsidRDefault="00A863C2" w:rsidP="00155838">
      <w:pPr>
        <w:autoSpaceDE w:val="0"/>
        <w:spacing w:before="120" w:after="120" w:line="360" w:lineRule="auto"/>
        <w:jc w:val="center"/>
        <w:rPr>
          <w:rFonts w:ascii="Arial" w:hAnsi="Arial" w:cs="Arial"/>
          <w:i/>
          <w:iCs/>
          <w:sz w:val="22"/>
          <w:szCs w:val="22"/>
        </w:rPr>
      </w:pPr>
      <w:r w:rsidRPr="00155838">
        <w:rPr>
          <w:rFonts w:ascii="Arial" w:hAnsi="Arial" w:cs="Arial"/>
          <w:i/>
          <w:iCs/>
          <w:sz w:val="22"/>
          <w:szCs w:val="22"/>
          <w:highlight w:val="yellow"/>
        </w:rPr>
        <w:t>/</w:t>
      </w:r>
      <w:r w:rsidRPr="00155838">
        <w:rPr>
          <w:rFonts w:ascii="Arial" w:hAnsi="Arial" w:cs="Arial"/>
          <w:i/>
          <w:iCs/>
          <w:sz w:val="22"/>
          <w:szCs w:val="22"/>
          <w:highlight w:val="yellow"/>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155838">
        <w:rPr>
          <w:rFonts w:ascii="Arial" w:hAnsi="Arial" w:cs="Arial"/>
          <w:i/>
          <w:iCs/>
          <w:sz w:val="22"/>
          <w:szCs w:val="22"/>
          <w:highlight w:val="yellow"/>
        </w:rPr>
        <w:t>/</w:t>
      </w:r>
    </w:p>
    <w:p w14:paraId="5E1E8C4D" w14:textId="77777777" w:rsidR="00155838" w:rsidRDefault="00155838" w:rsidP="00155838">
      <w:pPr>
        <w:autoSpaceDE w:val="0"/>
        <w:spacing w:line="360" w:lineRule="auto"/>
        <w:rPr>
          <w:rFonts w:ascii="Arial" w:hAnsi="Arial" w:cs="Arial"/>
          <w:b/>
          <w:bCs/>
          <w:sz w:val="22"/>
          <w:szCs w:val="22"/>
        </w:rPr>
        <w:sectPr w:rsidR="00155838" w:rsidSect="00A863C2">
          <w:headerReference w:type="default" r:id="rId15"/>
          <w:footerReference w:type="default" r:id="rId16"/>
          <w:footnotePr>
            <w:numFmt w:val="chicago"/>
          </w:footnotePr>
          <w:pgSz w:w="11906" w:h="16838"/>
          <w:pgMar w:top="1417" w:right="1417" w:bottom="1417" w:left="1417" w:header="709" w:footer="709" w:gutter="0"/>
          <w:pgNumType w:start="1"/>
          <w:cols w:space="708"/>
          <w:docGrid w:linePitch="360"/>
        </w:sectPr>
      </w:pPr>
    </w:p>
    <w:p w14:paraId="56644051" w14:textId="42ECE19D"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2:</w:t>
      </w:r>
    </w:p>
    <w:p w14:paraId="3972A0E9" w14:textId="61AE8CC9"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Formulář pro ohlášení změn stavby</w:t>
      </w:r>
    </w:p>
    <w:p w14:paraId="2F948F8F" w14:textId="1F83C9AD" w:rsidR="00155838" w:rsidRPr="00155838" w:rsidRDefault="00155838" w:rsidP="00155838">
      <w:pPr>
        <w:spacing w:line="276" w:lineRule="auto"/>
        <w:jc w:val="center"/>
        <w:rPr>
          <w:rFonts w:ascii="Arial" w:hAnsi="Arial" w:cs="Arial"/>
          <w:b/>
          <w:bCs/>
          <w:sz w:val="28"/>
          <w:szCs w:val="28"/>
        </w:rPr>
      </w:pPr>
      <w:r w:rsidRPr="00155838">
        <w:rPr>
          <w:rFonts w:ascii="Arial" w:hAnsi="Arial" w:cs="Arial"/>
          <w:b/>
          <w:bCs/>
          <w:sz w:val="28"/>
          <w:szCs w:val="28"/>
        </w:rPr>
        <w:t>FORMULÁŘ PRO OHLÁŠENÍ ZMĚN STAVBY</w:t>
      </w:r>
    </w:p>
    <w:p w14:paraId="71543132" w14:textId="11087DA9" w:rsidR="00155838" w:rsidRPr="00786EAE" w:rsidRDefault="00EB0698" w:rsidP="00155838">
      <w:pPr>
        <w:spacing w:before="120" w:after="480" w:line="276" w:lineRule="auto"/>
        <w:jc w:val="center"/>
        <w:rPr>
          <w:rFonts w:ascii="Arial" w:hAnsi="Arial" w:cs="Arial"/>
          <w:b/>
          <w:bCs/>
          <w:sz w:val="22"/>
          <w:szCs w:val="22"/>
        </w:rPr>
      </w:pPr>
      <w:r w:rsidRPr="00786EAE">
        <w:rPr>
          <w:rFonts w:ascii="Arial" w:hAnsi="Arial" w:cs="Arial"/>
          <w:b/>
          <w:bCs/>
          <w:sz w:val="32"/>
          <w:szCs w:val="32"/>
        </w:rPr>
        <w:t>„</w:t>
      </w:r>
      <w:r>
        <w:rPr>
          <w:rFonts w:ascii="Arial" w:hAnsi="Arial" w:cs="Arial"/>
          <w:sz w:val="22"/>
          <w:szCs w:val="22"/>
        </w:rPr>
        <w:t>Náprava opatření PBŘ - Kamýk</w:t>
      </w:r>
      <w:r w:rsidRPr="00786EAE">
        <w:rPr>
          <w:rFonts w:ascii="Arial" w:hAnsi="Arial" w:cs="Arial"/>
          <w:b/>
          <w:bCs/>
          <w:sz w:val="32"/>
          <w:szCs w:val="32"/>
        </w:rPr>
        <w:t>“</w:t>
      </w:r>
    </w:p>
    <w:p w14:paraId="211BD756"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645E665"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Termín plnění:</w:t>
      </w:r>
    </w:p>
    <w:p w14:paraId="6BF365A1"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Celková cena díla:</w:t>
      </w:r>
    </w:p>
    <w:p w14:paraId="478E1661"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Dodavatel:</w:t>
      </w:r>
    </w:p>
    <w:p w14:paraId="0103EAA7"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IČO:</w:t>
      </w:r>
    </w:p>
    <w:p w14:paraId="564633FA"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Oprávněná osoba:</w:t>
      </w:r>
    </w:p>
    <w:p w14:paraId="13DCBB7B"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Telefonní spojení:</w:t>
      </w:r>
    </w:p>
    <w:p w14:paraId="277BA730"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předmětu informace:</w:t>
      </w:r>
    </w:p>
    <w:p w14:paraId="4E5CD3B9"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problému:</w:t>
      </w:r>
    </w:p>
    <w:p w14:paraId="517700E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795BE4B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55F3D3C2" w14:textId="77777777" w:rsidR="00155838" w:rsidRPr="00786EAE" w:rsidRDefault="00155838" w:rsidP="00155838">
      <w:pPr>
        <w:spacing w:before="840" w:after="240" w:line="276" w:lineRule="auto"/>
        <w:rPr>
          <w:rFonts w:ascii="Arial" w:hAnsi="Arial" w:cs="Arial"/>
          <w:b/>
          <w:bCs/>
          <w:sz w:val="22"/>
          <w:szCs w:val="22"/>
        </w:rPr>
      </w:pPr>
      <w:r w:rsidRPr="00786EAE">
        <w:rPr>
          <w:rFonts w:ascii="Arial" w:hAnsi="Arial" w:cs="Arial"/>
          <w:b/>
          <w:bCs/>
          <w:sz w:val="22"/>
          <w:szCs w:val="22"/>
        </w:rPr>
        <w:t>Datum, podpis oprávněné osoby</w:t>
      </w:r>
    </w:p>
    <w:p w14:paraId="1FD26DBF" w14:textId="5056E43E" w:rsidR="00155838" w:rsidRDefault="00155838" w:rsidP="00155838">
      <w:pPr>
        <w:spacing w:before="720" w:after="240" w:line="276" w:lineRule="auto"/>
        <w:rPr>
          <w:rFonts w:ascii="Arial" w:hAnsi="Arial" w:cs="Arial"/>
          <w:b/>
          <w:bCs/>
          <w:sz w:val="22"/>
          <w:szCs w:val="22"/>
        </w:rPr>
      </w:pPr>
      <w:r w:rsidRPr="00786EAE">
        <w:rPr>
          <w:rFonts w:ascii="Arial" w:hAnsi="Arial" w:cs="Arial"/>
          <w:b/>
          <w:bCs/>
          <w:sz w:val="22"/>
          <w:szCs w:val="22"/>
        </w:rPr>
        <w:t>Datum, potvrzení převzetí podatelny objednatele:</w:t>
      </w:r>
    </w:p>
    <w:p w14:paraId="11869F69" w14:textId="77777777" w:rsidR="00155838" w:rsidRPr="00786EAE" w:rsidRDefault="00155838" w:rsidP="00155838">
      <w:pPr>
        <w:spacing w:before="720" w:after="240" w:line="276" w:lineRule="auto"/>
        <w:rPr>
          <w:rFonts w:ascii="Arial" w:hAnsi="Arial" w:cs="Arial"/>
          <w:b/>
          <w:bCs/>
          <w:sz w:val="22"/>
          <w:szCs w:val="22"/>
        </w:rPr>
      </w:pPr>
    </w:p>
    <w:p w14:paraId="54F93C84" w14:textId="77777777" w:rsidR="00155838" w:rsidRDefault="00155838" w:rsidP="00A863C2">
      <w:pPr>
        <w:tabs>
          <w:tab w:val="left" w:pos="426"/>
        </w:tabs>
        <w:autoSpaceDE w:val="0"/>
        <w:spacing w:before="120" w:after="120" w:line="360" w:lineRule="auto"/>
        <w:ind w:left="2120" w:hanging="2120"/>
        <w:rPr>
          <w:rFonts w:ascii="Arial" w:hAnsi="Arial" w:cs="Arial"/>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2FD672E3" w14:textId="5CB15308"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3</w:t>
      </w:r>
      <w:r w:rsidRPr="00155838">
        <w:rPr>
          <w:rFonts w:ascii="Arial" w:hAnsi="Arial" w:cs="Arial"/>
          <w:b/>
          <w:bCs/>
          <w:sz w:val="22"/>
          <w:szCs w:val="22"/>
        </w:rPr>
        <w:t>:</w:t>
      </w:r>
    </w:p>
    <w:p w14:paraId="4BE1EB2B"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Oceněný výkaz výměr </w:t>
      </w:r>
    </w:p>
    <w:p w14:paraId="7D93EF92" w14:textId="7893744F" w:rsidR="00A863C2" w:rsidRPr="008E00F1" w:rsidRDefault="00A863C2" w:rsidP="00155838">
      <w:pPr>
        <w:tabs>
          <w:tab w:val="left" w:pos="426"/>
        </w:tabs>
        <w:autoSpaceDE w:val="0"/>
        <w:spacing w:before="120" w:after="120" w:line="360" w:lineRule="auto"/>
        <w:ind w:left="2120" w:hanging="2120"/>
        <w:jc w:val="center"/>
        <w:rPr>
          <w:rFonts w:ascii="Arial" w:hAnsi="Arial" w:cs="Arial"/>
          <w:sz w:val="22"/>
          <w:szCs w:val="22"/>
          <w:shd w:val="clear" w:color="auto" w:fill="FFFF00"/>
        </w:rPr>
      </w:pPr>
      <w:r w:rsidRPr="00155838">
        <w:rPr>
          <w:rFonts w:ascii="Arial" w:hAnsi="Arial" w:cs="Arial"/>
          <w:sz w:val="22"/>
          <w:szCs w:val="22"/>
          <w:highlight w:val="yellow"/>
        </w:rPr>
        <w:t>/</w:t>
      </w:r>
      <w:r w:rsidRPr="00155838">
        <w:rPr>
          <w:rFonts w:ascii="Arial" w:hAnsi="Arial" w:cs="Arial"/>
          <w:sz w:val="22"/>
          <w:szCs w:val="22"/>
          <w:highlight w:val="yellow"/>
          <w:shd w:val="clear" w:color="auto" w:fill="FFFF00"/>
        </w:rPr>
        <w:t>příloha bude předložena v nabídce//přikládá uchazeč/</w:t>
      </w:r>
    </w:p>
    <w:p w14:paraId="12E31C6B" w14:textId="77777777" w:rsidR="00155838" w:rsidRDefault="00155838" w:rsidP="00EB0698">
      <w:pPr>
        <w:tabs>
          <w:tab w:val="left" w:pos="426"/>
        </w:tabs>
        <w:autoSpaceDE w:val="0"/>
        <w:spacing w:line="360" w:lineRule="auto"/>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16009E79" w14:textId="17E8E549"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4</w:t>
      </w:r>
      <w:r w:rsidRPr="00155838">
        <w:rPr>
          <w:rFonts w:ascii="Arial" w:hAnsi="Arial" w:cs="Arial"/>
          <w:b/>
          <w:bCs/>
          <w:sz w:val="22"/>
          <w:szCs w:val="22"/>
        </w:rPr>
        <w:t>:</w:t>
      </w:r>
    </w:p>
    <w:p w14:paraId="00181A15" w14:textId="08174EAB"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Seznam poddodavatelů</w:t>
      </w:r>
    </w:p>
    <w:p w14:paraId="2F5AA794" w14:textId="6A273A09"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EA7410">
        <w:rPr>
          <w:rFonts w:ascii="Arial" w:hAnsi="Arial" w:cs="Arial"/>
          <w:sz w:val="22"/>
          <w:szCs w:val="22"/>
          <w:highlight w:val="yellow"/>
        </w:rPr>
        <w:t>/příloha bude předložena v nabídce//přikládá uchazeč/</w:t>
      </w:r>
    </w:p>
    <w:p w14:paraId="67C4A398" w14:textId="224CDF13"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30CB48DF" w14:textId="33D62215"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5</w:t>
      </w:r>
      <w:r w:rsidRPr="00155838">
        <w:rPr>
          <w:rFonts w:ascii="Arial" w:hAnsi="Arial" w:cs="Arial"/>
          <w:b/>
          <w:bCs/>
          <w:sz w:val="22"/>
          <w:szCs w:val="22"/>
        </w:rPr>
        <w:t>:</w:t>
      </w:r>
    </w:p>
    <w:p w14:paraId="1BAED8AC" w14:textId="74378DFA"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Seznam techniků nebo technických útvarů </w:t>
      </w:r>
    </w:p>
    <w:p w14:paraId="43DBB634" w14:textId="6BB8D67B"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155838">
        <w:rPr>
          <w:rFonts w:ascii="Arial" w:hAnsi="Arial" w:cs="Arial"/>
          <w:sz w:val="22"/>
          <w:szCs w:val="22"/>
          <w:highlight w:val="yellow"/>
        </w:rPr>
        <w:t>/příloha bude předložena v nabídce//přikládá uchazeč/</w:t>
      </w:r>
    </w:p>
    <w:p w14:paraId="315E069E" w14:textId="1DF483BC" w:rsidR="003A7B4C" w:rsidRPr="00786EAE" w:rsidRDefault="003A7B4C" w:rsidP="00155838">
      <w:pPr>
        <w:autoSpaceDE w:val="0"/>
        <w:rPr>
          <w:rFonts w:ascii="Arial" w:hAnsi="Arial" w:cs="Arial"/>
          <w:sz w:val="22"/>
          <w:szCs w:val="22"/>
          <w:highlight w:val="yellow"/>
        </w:rPr>
      </w:pPr>
    </w:p>
    <w:sectPr w:rsidR="003A7B4C" w:rsidRPr="00786EAE" w:rsidSect="00A863C2">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ADF6" w14:textId="77777777" w:rsidR="0091244D" w:rsidRDefault="0091244D">
      <w:pPr>
        <w:spacing w:line="240" w:lineRule="auto"/>
      </w:pPr>
      <w:r>
        <w:separator/>
      </w:r>
    </w:p>
  </w:endnote>
  <w:endnote w:type="continuationSeparator" w:id="0">
    <w:p w14:paraId="49FB62C2" w14:textId="77777777" w:rsidR="0091244D" w:rsidRDefault="0091244D">
      <w:pPr>
        <w:spacing w:line="240" w:lineRule="auto"/>
      </w:pPr>
      <w:r>
        <w:continuationSeparator/>
      </w:r>
    </w:p>
  </w:endnote>
  <w:endnote w:type="continuationNotice" w:id="1">
    <w:p w14:paraId="014E9DFC" w14:textId="77777777" w:rsidR="0091244D" w:rsidRDefault="009124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AD05" w14:textId="77777777" w:rsidR="00AB2173" w:rsidRDefault="00AB21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1634CD75" w:rsidR="006A4A34" w:rsidRPr="008E00F1" w:rsidRDefault="006A4A34" w:rsidP="009F76EA">
    <w:pPr>
      <w:pStyle w:val="Zpat"/>
      <w:jc w:val="center"/>
      <w:rPr>
        <w:rFonts w:ascii="Arial" w:hAnsi="Arial" w:cs="Arial"/>
        <w:sz w:val="20"/>
        <w:szCs w:val="20"/>
      </w:rPr>
    </w:pPr>
    <w:r w:rsidRPr="008E00F1">
      <w:rPr>
        <w:rFonts w:ascii="Arial" w:hAnsi="Arial" w:cs="Arial"/>
        <w:sz w:val="20"/>
        <w:szCs w:val="20"/>
      </w:rPr>
      <w:t xml:space="preserve">- </w:t>
    </w:r>
    <w:r w:rsidRPr="008E00F1">
      <w:rPr>
        <w:rFonts w:ascii="Arial" w:hAnsi="Arial" w:cs="Arial"/>
        <w:sz w:val="20"/>
        <w:szCs w:val="20"/>
      </w:rPr>
      <w:fldChar w:fldCharType="begin"/>
    </w:r>
    <w:r w:rsidRPr="008E00F1">
      <w:rPr>
        <w:rFonts w:ascii="Arial" w:hAnsi="Arial" w:cs="Arial"/>
        <w:sz w:val="20"/>
        <w:szCs w:val="20"/>
      </w:rPr>
      <w:instrText>PAGE   \* MERGEFORMAT</w:instrText>
    </w:r>
    <w:r w:rsidRPr="008E00F1">
      <w:rPr>
        <w:rFonts w:ascii="Arial" w:hAnsi="Arial" w:cs="Arial"/>
        <w:sz w:val="20"/>
        <w:szCs w:val="20"/>
      </w:rPr>
      <w:fldChar w:fldCharType="separate"/>
    </w:r>
    <w:r w:rsidR="00216E40" w:rsidRPr="008E00F1">
      <w:rPr>
        <w:rFonts w:ascii="Arial" w:hAnsi="Arial" w:cs="Arial"/>
        <w:noProof/>
        <w:sz w:val="20"/>
        <w:szCs w:val="20"/>
        <w:lang w:val="cs-CZ"/>
      </w:rPr>
      <w:t>21</w:t>
    </w:r>
    <w:r w:rsidRPr="008E00F1">
      <w:rPr>
        <w:rFonts w:ascii="Arial" w:hAnsi="Arial" w:cs="Arial"/>
        <w:sz w:val="20"/>
        <w:szCs w:val="20"/>
      </w:rPr>
      <w:fldChar w:fldCharType="end"/>
    </w:r>
    <w:r w:rsidRPr="008E00F1">
      <w:rPr>
        <w:rFonts w:ascii="Arial" w:hAnsi="Arial" w:cs="Arial"/>
        <w:sz w:val="20"/>
        <w:szCs w:val="20"/>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B338" w14:textId="77777777" w:rsidR="00AB2173" w:rsidRDefault="00AB217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0DD" w14:textId="6D3B47ED" w:rsidR="00A863C2" w:rsidRPr="00A863C2" w:rsidRDefault="00A863C2"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1BF6" w14:textId="77777777" w:rsidR="0091244D" w:rsidRDefault="0091244D">
      <w:pPr>
        <w:spacing w:line="240" w:lineRule="auto"/>
      </w:pPr>
      <w:r>
        <w:separator/>
      </w:r>
    </w:p>
  </w:footnote>
  <w:footnote w:type="continuationSeparator" w:id="0">
    <w:p w14:paraId="735570FB" w14:textId="77777777" w:rsidR="0091244D" w:rsidRDefault="0091244D">
      <w:pPr>
        <w:spacing w:line="240" w:lineRule="auto"/>
      </w:pPr>
      <w:r>
        <w:continuationSeparator/>
      </w:r>
    </w:p>
  </w:footnote>
  <w:footnote w:type="continuationNotice" w:id="1">
    <w:p w14:paraId="2E6FA4B8" w14:textId="77777777" w:rsidR="0091244D" w:rsidRDefault="0091244D">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22A2" w14:textId="77777777" w:rsidR="00AB2173" w:rsidRDefault="00AB21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8DD" w14:textId="37857FDC" w:rsidR="006A4A34" w:rsidRPr="00D7236C" w:rsidRDefault="006A4A34" w:rsidP="00D45B9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021C" w14:textId="77777777" w:rsidR="00AB2173" w:rsidRDefault="00AB21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D6A61BE2"/>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66080472">
    <w:abstractNumId w:val="32"/>
  </w:num>
  <w:num w:numId="2" w16cid:durableId="667560340">
    <w:abstractNumId w:val="43"/>
  </w:num>
  <w:num w:numId="3" w16cid:durableId="16245329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571597">
    <w:abstractNumId w:val="52"/>
  </w:num>
  <w:num w:numId="5" w16cid:durableId="1153109420">
    <w:abstractNumId w:val="50"/>
  </w:num>
  <w:num w:numId="6" w16cid:durableId="1495225310">
    <w:abstractNumId w:val="58"/>
  </w:num>
  <w:num w:numId="7" w16cid:durableId="942687082">
    <w:abstractNumId w:val="0"/>
  </w:num>
  <w:num w:numId="8" w16cid:durableId="445586539">
    <w:abstractNumId w:val="46"/>
  </w:num>
  <w:num w:numId="9" w16cid:durableId="1642689126">
    <w:abstractNumId w:val="49"/>
  </w:num>
  <w:num w:numId="10" w16cid:durableId="2077436369">
    <w:abstractNumId w:val="44"/>
  </w:num>
  <w:num w:numId="11" w16cid:durableId="919946923">
    <w:abstractNumId w:val="54"/>
  </w:num>
  <w:num w:numId="12" w16cid:durableId="1264149829">
    <w:abstractNumId w:val="55"/>
  </w:num>
  <w:num w:numId="13" w16cid:durableId="1856072239">
    <w:abstractNumId w:val="51"/>
  </w:num>
  <w:num w:numId="14" w16cid:durableId="1529365911">
    <w:abstractNumId w:val="57"/>
  </w:num>
  <w:num w:numId="15" w16cid:durableId="573205256">
    <w:abstractNumId w:val="56"/>
  </w:num>
  <w:num w:numId="16" w16cid:durableId="1430853607">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5C66"/>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3723F"/>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9D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C61"/>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674AD"/>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B1C"/>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438"/>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6E09"/>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9E6"/>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2639"/>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A71"/>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060"/>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4CB"/>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3F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3184"/>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B96"/>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6576"/>
    <w:rsid w:val="00906922"/>
    <w:rsid w:val="009072A4"/>
    <w:rsid w:val="00907CC2"/>
    <w:rsid w:val="00910F8D"/>
    <w:rsid w:val="00911499"/>
    <w:rsid w:val="00911C69"/>
    <w:rsid w:val="0091244D"/>
    <w:rsid w:val="00913176"/>
    <w:rsid w:val="0091360F"/>
    <w:rsid w:val="009171D2"/>
    <w:rsid w:val="00920301"/>
    <w:rsid w:val="00920711"/>
    <w:rsid w:val="00920A96"/>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4DD"/>
    <w:rsid w:val="00A75632"/>
    <w:rsid w:val="00A759BA"/>
    <w:rsid w:val="00A76DFC"/>
    <w:rsid w:val="00A77E67"/>
    <w:rsid w:val="00A80463"/>
    <w:rsid w:val="00A80CBB"/>
    <w:rsid w:val="00A80DD4"/>
    <w:rsid w:val="00A811B0"/>
    <w:rsid w:val="00A8140B"/>
    <w:rsid w:val="00A81C18"/>
    <w:rsid w:val="00A82394"/>
    <w:rsid w:val="00A82B54"/>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658"/>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0F92"/>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0C8"/>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0E7C"/>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4F0D"/>
    <w:rsid w:val="00DC51D5"/>
    <w:rsid w:val="00DC5B7F"/>
    <w:rsid w:val="00DC5CFD"/>
    <w:rsid w:val="00DC61FA"/>
    <w:rsid w:val="00DC6709"/>
    <w:rsid w:val="00DC6CA2"/>
    <w:rsid w:val="00DC71B5"/>
    <w:rsid w:val="00DC7876"/>
    <w:rsid w:val="00DD0766"/>
    <w:rsid w:val="00DD0A48"/>
    <w:rsid w:val="00DD1147"/>
    <w:rsid w:val="00DD1FDA"/>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698"/>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58F7"/>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2FDAF32-CE17-4FB2-9BB2-3AFC69869ED3}">
  <ds:schemaRefs>
    <ds:schemaRef ds:uri="http://schemas.openxmlformats.org/officeDocument/2006/bibliography"/>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8924</Words>
  <Characters>52658</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61460</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Mašek</dc:creator>
  <cp:lastModifiedBy>Daniel Mašek</cp:lastModifiedBy>
  <cp:revision>2</cp:revision>
  <dcterms:created xsi:type="dcterms:W3CDTF">2025-05-28T10:29:00Z</dcterms:created>
  <dcterms:modified xsi:type="dcterms:W3CDTF">2025-05-28T10:29:00Z</dcterms:modified>
</cp:coreProperties>
</file>