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78AF0B66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r w:rsidR="00DA45B3" w:rsidRPr="00DA45B3">
        <w:rPr>
          <w:rFonts w:cs="Arial"/>
          <w:sz w:val="20"/>
        </w:rPr>
        <w:t xml:space="preserve">II/125 </w:t>
      </w:r>
      <w:proofErr w:type="spellStart"/>
      <w:proofErr w:type="gramStart"/>
      <w:r w:rsidR="00DA45B3" w:rsidRPr="00DA45B3">
        <w:rPr>
          <w:rFonts w:cs="Arial"/>
          <w:sz w:val="20"/>
        </w:rPr>
        <w:t>Vlašim</w:t>
      </w:r>
      <w:proofErr w:type="spellEnd"/>
      <w:r w:rsidR="00DA45B3" w:rsidRPr="00DA45B3">
        <w:rPr>
          <w:rFonts w:cs="Arial"/>
          <w:sz w:val="20"/>
        </w:rPr>
        <w:t xml:space="preserve"> - </w:t>
      </w:r>
      <w:proofErr w:type="spellStart"/>
      <w:r w:rsidR="00DA45B3" w:rsidRPr="00DA45B3">
        <w:rPr>
          <w:rFonts w:cs="Arial"/>
          <w:sz w:val="20"/>
        </w:rPr>
        <w:t>Pavlovice</w:t>
      </w:r>
      <w:proofErr w:type="spellEnd"/>
      <w:proofErr w:type="gramEnd"/>
      <w:r w:rsidR="00DA45B3" w:rsidRPr="00DA45B3">
        <w:rPr>
          <w:rFonts w:cs="Arial"/>
          <w:sz w:val="20"/>
        </w:rPr>
        <w:t xml:space="preserve">, </w:t>
      </w:r>
      <w:proofErr w:type="spellStart"/>
      <w:r w:rsidR="00DA45B3" w:rsidRPr="00DA45B3">
        <w:rPr>
          <w:rFonts w:cs="Arial"/>
          <w:sz w:val="20"/>
        </w:rPr>
        <w:t>narovnání</w:t>
      </w:r>
      <w:proofErr w:type="spellEnd"/>
    </w:p>
    <w:p w14:paraId="7958D6FF" w14:textId="4F407B84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r w:rsidR="00DA45B3" w:rsidRPr="00DA45B3">
        <w:rPr>
          <w:rFonts w:cs="Arial"/>
          <w:sz w:val="20"/>
        </w:rPr>
        <w:t xml:space="preserve">II/125 </w:t>
      </w:r>
      <w:proofErr w:type="spellStart"/>
      <w:proofErr w:type="gramStart"/>
      <w:r w:rsidR="00DA45B3" w:rsidRPr="00DA45B3">
        <w:rPr>
          <w:rFonts w:cs="Arial"/>
          <w:sz w:val="20"/>
        </w:rPr>
        <w:t>Vlašim</w:t>
      </w:r>
      <w:proofErr w:type="spellEnd"/>
      <w:r w:rsidR="00DA45B3" w:rsidRPr="00DA45B3">
        <w:rPr>
          <w:rFonts w:cs="Arial"/>
          <w:sz w:val="20"/>
        </w:rPr>
        <w:t xml:space="preserve"> - </w:t>
      </w:r>
      <w:proofErr w:type="spellStart"/>
      <w:r w:rsidR="00DA45B3" w:rsidRPr="00DA45B3">
        <w:rPr>
          <w:rFonts w:cs="Arial"/>
          <w:sz w:val="20"/>
        </w:rPr>
        <w:t>Pavlovice</w:t>
      </w:r>
      <w:proofErr w:type="spellEnd"/>
      <w:proofErr w:type="gramEnd"/>
      <w:r w:rsidR="00DA45B3" w:rsidRPr="00DA45B3">
        <w:rPr>
          <w:rFonts w:cs="Arial"/>
          <w:sz w:val="20"/>
        </w:rPr>
        <w:t xml:space="preserve">, </w:t>
      </w:r>
      <w:proofErr w:type="spellStart"/>
      <w:r w:rsidR="00DA45B3" w:rsidRPr="00DA45B3">
        <w:rPr>
          <w:rFonts w:cs="Arial"/>
          <w:sz w:val="20"/>
        </w:rPr>
        <w:t>narovnání</w:t>
      </w:r>
      <w:proofErr w:type="spellEnd"/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3DBDC" w14:textId="77777777" w:rsidR="009C71BB" w:rsidRDefault="009C71BB">
      <w:r>
        <w:separator/>
      </w:r>
    </w:p>
  </w:endnote>
  <w:endnote w:type="continuationSeparator" w:id="0">
    <w:p w14:paraId="319581CB" w14:textId="77777777" w:rsidR="009C71BB" w:rsidRDefault="009C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967E6" w14:textId="77777777" w:rsidR="009C71BB" w:rsidRDefault="009C71BB">
      <w:r>
        <w:separator/>
      </w:r>
    </w:p>
  </w:footnote>
  <w:footnote w:type="continuationSeparator" w:id="0">
    <w:p w14:paraId="3254B9A4" w14:textId="77777777" w:rsidR="009C71BB" w:rsidRDefault="009C71BB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5739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71BB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45B3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4</cp:revision>
  <dcterms:created xsi:type="dcterms:W3CDTF">2024-09-10T08:26:00Z</dcterms:created>
  <dcterms:modified xsi:type="dcterms:W3CDTF">2025-04-02T13:27:00Z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