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43C41" w14:textId="77777777" w:rsidR="0065442A" w:rsidRDefault="0065442A" w:rsidP="0065442A">
      <w:pPr>
        <w:jc w:val="center"/>
        <w:rPr>
          <w:rStyle w:val="Siln"/>
        </w:rPr>
      </w:pPr>
      <w:r>
        <w:rPr>
          <w:rStyle w:val="Siln"/>
        </w:rPr>
        <w:t>TECHNICKÁ SPECIFIKACE</w:t>
      </w:r>
    </w:p>
    <w:p w14:paraId="12986375" w14:textId="77777777" w:rsidR="0065442A" w:rsidRPr="00632F17" w:rsidRDefault="0065442A" w:rsidP="0065442A">
      <w:pPr>
        <w:jc w:val="center"/>
        <w:rPr>
          <w:rStyle w:val="Siln"/>
        </w:rPr>
      </w:pPr>
    </w:p>
    <w:p w14:paraId="7B2C2ACF" w14:textId="6CADD339" w:rsidR="0065442A" w:rsidRDefault="0065442A" w:rsidP="000B7D9E">
      <w:pPr>
        <w:jc w:val="both"/>
      </w:pPr>
      <w:r>
        <w:t xml:space="preserve">Zakázka řeší údržbu, provoz, rozvoj a monitoring IS </w:t>
      </w:r>
      <w:r w:rsidR="000B7D9E">
        <w:t>CEBASS 2.0</w:t>
      </w:r>
      <w:r>
        <w:t xml:space="preserve">. </w:t>
      </w:r>
      <w:r w:rsidR="00660D07">
        <w:t>CEBASS</w:t>
      </w:r>
      <w:r w:rsidR="000162C7">
        <w:t xml:space="preserve"> </w:t>
      </w:r>
      <w:r>
        <w:t>je realizovaný</w:t>
      </w:r>
      <w:r w:rsidR="000162C7">
        <w:br/>
      </w:r>
      <w:r>
        <w:t xml:space="preserve">jako webová aplikace. Aplikace slouží </w:t>
      </w:r>
      <w:r w:rsidR="000B7D9E" w:rsidRPr="000B7D9E">
        <w:t>nejen pro potřeby zpracování dat získaných</w:t>
      </w:r>
      <w:r w:rsidR="000B7D9E">
        <w:br/>
      </w:r>
      <w:r w:rsidR="000B7D9E" w:rsidRPr="000B7D9E">
        <w:t>při bezpečnostních inspekcích pozemních komunikací, ale i k jejich účinnému řízení,</w:t>
      </w:r>
      <w:r w:rsidR="000B7D9E">
        <w:br/>
      </w:r>
      <w:r w:rsidR="000B7D9E" w:rsidRPr="000B7D9E">
        <w:t>tj. pro prezentaci evidovaných rizik a jejich následné odstranění.</w:t>
      </w:r>
      <w:r w:rsidR="000B7D9E">
        <w:t xml:space="preserve"> IS odpovídající verzi 1.0</w:t>
      </w:r>
      <w:r w:rsidR="00022972">
        <w:br/>
      </w:r>
      <w:r w:rsidR="000B7D9E">
        <w:t xml:space="preserve">je již od roku 2019 </w:t>
      </w:r>
      <w:r w:rsidR="00224189">
        <w:t xml:space="preserve">zaměstnanci </w:t>
      </w:r>
      <w:r w:rsidR="00224189" w:rsidRPr="00224189">
        <w:t xml:space="preserve">Krajské správy a údržby silnic Středočeského kraje </w:t>
      </w:r>
      <w:r w:rsidR="006F6208">
        <w:t>využíván,</w:t>
      </w:r>
      <w:r w:rsidR="00022972">
        <w:br/>
      </w:r>
      <w:r w:rsidR="006F6208">
        <w:t>a to pro potřebu</w:t>
      </w:r>
      <w:r w:rsidR="006F6208">
        <w:rPr>
          <w:rFonts w:eastAsia="Calibri" w:cs="Times New Roman"/>
        </w:rPr>
        <w:t xml:space="preserve"> efektivního řízení eliminace identifikovaných dopravně-bezpečnostních závad</w:t>
      </w:r>
      <w:r w:rsidR="006F6208">
        <w:t xml:space="preserve"> </w:t>
      </w:r>
      <w:r w:rsidR="000B7D9E">
        <w:t xml:space="preserve">v rámci </w:t>
      </w:r>
      <w:r w:rsidR="006F6208" w:rsidRPr="006F6208">
        <w:t>díla „Bezpečnostní inspekce na vybraných silnicích II. třídy Středočeského kraje“ (smlouva č. S-2635/00066001/2019).</w:t>
      </w:r>
      <w:r w:rsidR="006F6208">
        <w:t xml:space="preserve"> Z</w:t>
      </w:r>
      <w:r w:rsidR="00AE7151">
        <w:t> </w:t>
      </w:r>
      <w:r w:rsidR="006F6208">
        <w:t>důvodu</w:t>
      </w:r>
      <w:r w:rsidR="00AE7151">
        <w:t xml:space="preserve"> </w:t>
      </w:r>
      <w:r w:rsidR="00AE7151" w:rsidRPr="00AE7151">
        <w:t>požadavků vyplývajících z aktuálního znění zákona č. 13/1997 Sb., o pozemních komunikacích, resp. vyhlášk</w:t>
      </w:r>
      <w:r w:rsidR="00022972">
        <w:t>y</w:t>
      </w:r>
      <w:r w:rsidR="00AE7151" w:rsidRPr="00AE7151">
        <w:t xml:space="preserve"> č. 104/1997 Sb., kterou</w:t>
      </w:r>
      <w:r w:rsidR="00022972">
        <w:br/>
      </w:r>
      <w:r w:rsidR="00AE7151" w:rsidRPr="00AE7151">
        <w:t>se provádí zákon o PK</w:t>
      </w:r>
      <w:r w:rsidR="00AE7151">
        <w:t xml:space="preserve"> je </w:t>
      </w:r>
      <w:r w:rsidR="00022972">
        <w:t xml:space="preserve">pro potřebu </w:t>
      </w:r>
      <w:r w:rsidR="006F6208">
        <w:t xml:space="preserve">zpracování aktualizace dříve vyhotovené bezpečnostní inspekce, ale také za účelem </w:t>
      </w:r>
      <w:r w:rsidR="00022972">
        <w:t xml:space="preserve">optimalizace </w:t>
      </w:r>
      <w:r w:rsidR="00022972" w:rsidRPr="00022972">
        <w:t>uživatelsk</w:t>
      </w:r>
      <w:r w:rsidR="00022972">
        <w:t>é</w:t>
      </w:r>
      <w:r w:rsidR="00022972" w:rsidRPr="00022972">
        <w:t xml:space="preserve"> ergonomi</w:t>
      </w:r>
      <w:r w:rsidR="00022972">
        <w:t>e</w:t>
      </w:r>
      <w:r w:rsidR="00760B84">
        <w:t>,</w:t>
      </w:r>
      <w:r w:rsidR="00022972" w:rsidRPr="00022972">
        <w:t xml:space="preserve"> </w:t>
      </w:r>
      <w:r w:rsidR="00022972">
        <w:t>žádoucí realizovat upgrade aplikace na nejnovější verzi 2.0. Primárně z tohoto důvodu je přistoupeno k následujícímu metodickému kroku, kdy je navázána spolupráce s </w:t>
      </w:r>
      <w:r w:rsidR="00760B84">
        <w:t>D</w:t>
      </w:r>
      <w:r w:rsidR="00022972">
        <w:t>odavatelem aplikace.</w:t>
      </w:r>
    </w:p>
    <w:p w14:paraId="687346F3" w14:textId="1DEB2AB4" w:rsidR="0065442A" w:rsidRDefault="0065442A" w:rsidP="0065442A">
      <w:pPr>
        <w:spacing w:before="240" w:after="120"/>
        <w:jc w:val="both"/>
      </w:pPr>
      <w:r>
        <w:t xml:space="preserve">Použité technologie (dále </w:t>
      </w:r>
      <w:r w:rsidR="000162C7">
        <w:t>jen „</w:t>
      </w:r>
      <w:r>
        <w:t>technologický stack</w:t>
      </w:r>
      <w:r w:rsidR="000162C7">
        <w:t>“</w:t>
      </w:r>
      <w:r>
        <w:t>) jsou následující:</w:t>
      </w:r>
    </w:p>
    <w:p w14:paraId="302C984C" w14:textId="77777777" w:rsidR="000162C7" w:rsidRDefault="000162C7" w:rsidP="000162C7">
      <w:pPr>
        <w:pStyle w:val="Odstavecseseznamem"/>
        <w:numPr>
          <w:ilvl w:val="0"/>
          <w:numId w:val="1"/>
        </w:numPr>
        <w:spacing w:before="120" w:after="120"/>
        <w:jc w:val="both"/>
      </w:pPr>
      <w:r>
        <w:t>Kontejnerová technologie Docker</w:t>
      </w:r>
    </w:p>
    <w:p w14:paraId="39DB5EE5" w14:textId="77777777" w:rsidR="000162C7" w:rsidRDefault="000162C7" w:rsidP="000162C7">
      <w:pPr>
        <w:pStyle w:val="Odstavecseseznamem"/>
        <w:numPr>
          <w:ilvl w:val="0"/>
          <w:numId w:val="1"/>
        </w:numPr>
        <w:spacing w:before="60" w:after="60"/>
        <w:ind w:hanging="357"/>
        <w:contextualSpacing w:val="0"/>
        <w:jc w:val="both"/>
      </w:pPr>
      <w:r>
        <w:t>Webový server Apache, provoz pod šifrovaným přenosem pomocí https,</w:t>
      </w:r>
    </w:p>
    <w:p w14:paraId="2FD45561" w14:textId="77777777" w:rsidR="000162C7" w:rsidRDefault="000162C7" w:rsidP="000162C7">
      <w:pPr>
        <w:pStyle w:val="Odstavecseseznamem"/>
        <w:numPr>
          <w:ilvl w:val="0"/>
          <w:numId w:val="1"/>
        </w:numPr>
        <w:spacing w:before="60" w:after="60"/>
        <w:ind w:hanging="357"/>
        <w:contextualSpacing w:val="0"/>
        <w:jc w:val="both"/>
      </w:pPr>
      <w:r>
        <w:t>Programovací jazyk PHP verze 8.1 výhledově 8.2,</w:t>
      </w:r>
    </w:p>
    <w:p w14:paraId="7FDC2A13" w14:textId="77777777" w:rsidR="000162C7" w:rsidRDefault="000162C7" w:rsidP="000162C7">
      <w:pPr>
        <w:pStyle w:val="Odstavecseseznamem"/>
        <w:numPr>
          <w:ilvl w:val="0"/>
          <w:numId w:val="1"/>
        </w:numPr>
        <w:spacing w:before="60" w:after="60"/>
        <w:ind w:hanging="357"/>
        <w:contextualSpacing w:val="0"/>
        <w:jc w:val="both"/>
      </w:pPr>
      <w:r>
        <w:t>Značkovací jazyk HTML,</w:t>
      </w:r>
    </w:p>
    <w:p w14:paraId="3C4711D0" w14:textId="77777777" w:rsidR="000162C7" w:rsidRDefault="000162C7" w:rsidP="000162C7">
      <w:pPr>
        <w:pStyle w:val="Odstavecseseznamem"/>
        <w:numPr>
          <w:ilvl w:val="0"/>
          <w:numId w:val="1"/>
        </w:numPr>
        <w:spacing w:before="60" w:after="60"/>
        <w:ind w:hanging="357"/>
        <w:contextualSpacing w:val="0"/>
        <w:jc w:val="both"/>
      </w:pPr>
      <w:r>
        <w:t>Bootstrap,</w:t>
      </w:r>
    </w:p>
    <w:p w14:paraId="0D833C98" w14:textId="77777777" w:rsidR="000162C7" w:rsidRDefault="000162C7" w:rsidP="000162C7">
      <w:pPr>
        <w:pStyle w:val="Odstavecseseznamem"/>
        <w:numPr>
          <w:ilvl w:val="0"/>
          <w:numId w:val="1"/>
        </w:numPr>
        <w:spacing w:before="60" w:after="60"/>
        <w:ind w:hanging="357"/>
        <w:contextualSpacing w:val="0"/>
        <w:jc w:val="both"/>
      </w:pPr>
      <w:r>
        <w:t>Template language Twig,</w:t>
      </w:r>
    </w:p>
    <w:p w14:paraId="7EB8597F" w14:textId="77777777" w:rsidR="000162C7" w:rsidRDefault="000162C7" w:rsidP="000162C7">
      <w:pPr>
        <w:pStyle w:val="Odstavecseseznamem"/>
        <w:numPr>
          <w:ilvl w:val="0"/>
          <w:numId w:val="1"/>
        </w:numPr>
        <w:spacing w:before="60" w:after="60"/>
        <w:ind w:hanging="357"/>
        <w:contextualSpacing w:val="0"/>
        <w:jc w:val="both"/>
      </w:pPr>
      <w:r>
        <w:t>Technologie AJAX,</w:t>
      </w:r>
    </w:p>
    <w:p w14:paraId="014E6BE1" w14:textId="22ED7371" w:rsidR="000162C7" w:rsidRDefault="000162C7" w:rsidP="000162C7">
      <w:pPr>
        <w:pStyle w:val="Odstavecseseznamem"/>
        <w:numPr>
          <w:ilvl w:val="0"/>
          <w:numId w:val="1"/>
        </w:numPr>
        <w:spacing w:before="60" w:after="60"/>
        <w:ind w:hanging="357"/>
        <w:contextualSpacing w:val="0"/>
        <w:jc w:val="both"/>
      </w:pPr>
      <w:r>
        <w:t>Principy API REST,</w:t>
      </w:r>
      <w:r w:rsidR="00067041">
        <w:t xml:space="preserve"> ESB</w:t>
      </w:r>
    </w:p>
    <w:p w14:paraId="4F8361B4" w14:textId="77777777" w:rsidR="00067041" w:rsidRDefault="000162C7" w:rsidP="00067041">
      <w:pPr>
        <w:pStyle w:val="Odstavecseseznamem"/>
        <w:numPr>
          <w:ilvl w:val="0"/>
          <w:numId w:val="1"/>
        </w:numPr>
        <w:spacing w:before="60" w:after="60"/>
        <w:ind w:hanging="357"/>
        <w:contextualSpacing w:val="0"/>
        <w:jc w:val="both"/>
      </w:pPr>
      <w:r>
        <w:t>OS Linux,</w:t>
      </w:r>
      <w:r w:rsidR="00067041">
        <w:t xml:space="preserve"> znalost CRON, znalost FS Linux</w:t>
      </w:r>
    </w:p>
    <w:p w14:paraId="1F8D2FD8" w14:textId="77777777" w:rsidR="000162C7" w:rsidRDefault="000162C7" w:rsidP="000162C7">
      <w:pPr>
        <w:pStyle w:val="Odstavecseseznamem"/>
        <w:numPr>
          <w:ilvl w:val="0"/>
          <w:numId w:val="1"/>
        </w:numPr>
        <w:spacing w:before="60" w:after="60"/>
        <w:ind w:hanging="357"/>
        <w:contextualSpacing w:val="0"/>
        <w:jc w:val="both"/>
      </w:pPr>
      <w:r>
        <w:t>Relační databáze MariaDB,</w:t>
      </w:r>
    </w:p>
    <w:p w14:paraId="067142FF" w14:textId="77777777" w:rsidR="000162C7" w:rsidRDefault="000162C7" w:rsidP="000162C7">
      <w:pPr>
        <w:pStyle w:val="Odstavecseseznamem"/>
        <w:numPr>
          <w:ilvl w:val="0"/>
          <w:numId w:val="1"/>
        </w:numPr>
        <w:spacing w:before="60" w:after="60"/>
        <w:ind w:hanging="357"/>
        <w:contextualSpacing w:val="0"/>
        <w:jc w:val="both"/>
      </w:pPr>
      <w:r>
        <w:t>Jazyk SQL, procedury a funkce,</w:t>
      </w:r>
    </w:p>
    <w:p w14:paraId="4223D5BA" w14:textId="77777777" w:rsidR="000162C7" w:rsidRDefault="000162C7" w:rsidP="000162C7">
      <w:pPr>
        <w:pStyle w:val="Odstavecseseznamem"/>
        <w:numPr>
          <w:ilvl w:val="0"/>
          <w:numId w:val="1"/>
        </w:numPr>
        <w:spacing w:before="60" w:after="60"/>
        <w:ind w:hanging="357"/>
        <w:contextualSpacing w:val="0"/>
        <w:jc w:val="both"/>
      </w:pPr>
      <w:r>
        <w:t>Programovací jazyk GO,</w:t>
      </w:r>
    </w:p>
    <w:p w14:paraId="73CB1709" w14:textId="77777777" w:rsidR="000162C7" w:rsidRDefault="000162C7" w:rsidP="000162C7">
      <w:pPr>
        <w:pStyle w:val="Odstavecseseznamem"/>
        <w:numPr>
          <w:ilvl w:val="0"/>
          <w:numId w:val="1"/>
        </w:numPr>
        <w:spacing w:before="60" w:after="60"/>
        <w:ind w:hanging="357"/>
        <w:contextualSpacing w:val="0"/>
        <w:jc w:val="both"/>
      </w:pPr>
      <w:r>
        <w:t>Front-endové technologie:</w:t>
      </w:r>
    </w:p>
    <w:p w14:paraId="513FA5A3" w14:textId="77777777" w:rsidR="000162C7" w:rsidRDefault="000162C7" w:rsidP="000162C7">
      <w:pPr>
        <w:pStyle w:val="Odstavecseseznamem"/>
        <w:numPr>
          <w:ilvl w:val="1"/>
          <w:numId w:val="1"/>
        </w:numPr>
        <w:spacing w:before="60" w:after="60"/>
        <w:ind w:hanging="357"/>
        <w:contextualSpacing w:val="0"/>
        <w:jc w:val="both"/>
      </w:pPr>
      <w:r>
        <w:t>Javascript,</w:t>
      </w:r>
    </w:p>
    <w:p w14:paraId="11C23150" w14:textId="77777777" w:rsidR="000162C7" w:rsidRPr="009E26A3" w:rsidRDefault="000162C7" w:rsidP="000162C7">
      <w:pPr>
        <w:pStyle w:val="Odstavecseseznamem"/>
        <w:numPr>
          <w:ilvl w:val="1"/>
          <w:numId w:val="1"/>
        </w:numPr>
        <w:spacing w:before="60" w:after="60"/>
        <w:ind w:hanging="357"/>
        <w:contextualSpacing w:val="0"/>
        <w:jc w:val="both"/>
      </w:pPr>
      <w:r>
        <w:t>jQuery.</w:t>
      </w:r>
    </w:p>
    <w:p w14:paraId="003E73DC" w14:textId="7689B2FC" w:rsidR="0065442A" w:rsidRDefault="00760B84" w:rsidP="0065442A">
      <w:pPr>
        <w:spacing w:before="240"/>
        <w:jc w:val="both"/>
      </w:pPr>
      <w:r>
        <w:t>Dodavatel</w:t>
      </w:r>
      <w:r w:rsidR="0065442A">
        <w:t xml:space="preserve"> se zavazuje v rámci údržby a provozu držet těchto technologií a neprovádět akce, které by měly za cíl paralelní vývoj jiné aplikace na technologickém stacku </w:t>
      </w:r>
      <w:r>
        <w:t>Dodavatele</w:t>
      </w:r>
      <w:r w:rsidR="0065442A">
        <w:t>,</w:t>
      </w:r>
      <w:r w:rsidR="0065442A">
        <w:br/>
        <w:t xml:space="preserve">což by mělo za následek vznik </w:t>
      </w:r>
      <w:r w:rsidR="000162C7">
        <w:t>neopodstatněným vícenákladům</w:t>
      </w:r>
      <w:r w:rsidR="0065442A">
        <w:t xml:space="preserve"> na vývoj již hotových funkčních celků. V rámci rozvoje aplikace, pokud to funkční i nefunkční požadavky Zadavatele dovolují, se</w:t>
      </w:r>
      <w:r>
        <w:t xml:space="preserve"> Dodavatel</w:t>
      </w:r>
      <w:r w:rsidR="0065442A">
        <w:t xml:space="preserve"> zavazuje tohoto stacku držet a současné řešení rozvíjet.</w:t>
      </w:r>
    </w:p>
    <w:p w14:paraId="76EF6CB3" w14:textId="316F8809" w:rsidR="00700EEF" w:rsidRDefault="00760B84" w:rsidP="0065442A">
      <w:pPr>
        <w:spacing w:before="240"/>
        <w:jc w:val="both"/>
      </w:pPr>
      <w:r>
        <w:t>Dodavatel</w:t>
      </w:r>
      <w:r w:rsidR="00700EEF">
        <w:t xml:space="preserve"> je povinen zajistit funkčnost implementovaných softwarových řešení třetích stran (např. Mapy.cz) a v případě nemožného obnovení funkčnosti zajistit (implementovat) adekvátní náhradní řešení. </w:t>
      </w:r>
    </w:p>
    <w:p w14:paraId="2FCD7106" w14:textId="77777777" w:rsidR="000702F9" w:rsidRDefault="000702F9">
      <w:pPr>
        <w:spacing w:after="160" w:line="259" w:lineRule="auto"/>
        <w:rPr>
          <w:b/>
          <w:sz w:val="32"/>
        </w:rPr>
      </w:pPr>
      <w:r>
        <w:rPr>
          <w:b/>
          <w:sz w:val="32"/>
        </w:rPr>
        <w:br w:type="page"/>
      </w:r>
    </w:p>
    <w:p w14:paraId="5A2A0E8E" w14:textId="36B7448C" w:rsidR="0065442A" w:rsidRPr="009C1661" w:rsidRDefault="0065442A" w:rsidP="0065442A">
      <w:pPr>
        <w:spacing w:before="240" w:after="120"/>
        <w:rPr>
          <w:b/>
          <w:sz w:val="32"/>
        </w:rPr>
      </w:pPr>
      <w:r w:rsidRPr="009C1661">
        <w:rPr>
          <w:b/>
          <w:sz w:val="32"/>
        </w:rPr>
        <w:lastRenderedPageBreak/>
        <w:t>Části služeb</w:t>
      </w:r>
    </w:p>
    <w:tbl>
      <w:tblPr>
        <w:tblW w:w="45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7"/>
        <w:gridCol w:w="2899"/>
        <w:gridCol w:w="2899"/>
      </w:tblGrid>
      <w:tr w:rsidR="0065442A" w:rsidRPr="005851EA" w14:paraId="73400F79" w14:textId="77777777" w:rsidTr="00057E14">
        <w:trPr>
          <w:trHeight w:val="536"/>
          <w:jc w:val="center"/>
        </w:trPr>
        <w:tc>
          <w:tcPr>
            <w:tcW w:w="1484" w:type="pct"/>
            <w:vAlign w:val="center"/>
          </w:tcPr>
          <w:p w14:paraId="1A7D4BA9" w14:textId="77777777" w:rsidR="0065442A" w:rsidRPr="00632F17" w:rsidRDefault="0065442A" w:rsidP="00977687">
            <w:pPr>
              <w:snapToGrid w:val="0"/>
              <w:spacing w:before="120" w:after="120" w:line="276" w:lineRule="auto"/>
              <w:jc w:val="center"/>
              <w:rPr>
                <w:rFonts w:cstheme="minorHAnsi"/>
                <w:b/>
              </w:rPr>
            </w:pPr>
            <w:r w:rsidRPr="00632F17">
              <w:rPr>
                <w:rFonts w:cstheme="minorHAnsi"/>
                <w:b/>
              </w:rPr>
              <w:t>Popis dané části Služeb</w:t>
            </w:r>
          </w:p>
        </w:tc>
        <w:tc>
          <w:tcPr>
            <w:tcW w:w="1758" w:type="pct"/>
          </w:tcPr>
          <w:p w14:paraId="53CC3F5A" w14:textId="77777777" w:rsidR="0065442A" w:rsidRPr="00632F17" w:rsidRDefault="0065442A" w:rsidP="00977687">
            <w:pPr>
              <w:pStyle w:val="Zkladntextodsazen3"/>
              <w:snapToGrid w:val="0"/>
              <w:spacing w:before="120" w:after="12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</w:rPr>
            </w:pPr>
            <w:r w:rsidRPr="00632F17">
              <w:rPr>
                <w:rFonts w:asciiTheme="minorHAnsi" w:hAnsiTheme="minorHAnsi" w:cstheme="minorHAnsi"/>
                <w:b/>
              </w:rPr>
              <w:t>Náplň služby</w:t>
            </w:r>
          </w:p>
        </w:tc>
        <w:tc>
          <w:tcPr>
            <w:tcW w:w="1758" w:type="pct"/>
            <w:vAlign w:val="center"/>
          </w:tcPr>
          <w:p w14:paraId="5DA738EF" w14:textId="77777777" w:rsidR="0065442A" w:rsidRPr="00632F17" w:rsidRDefault="0065442A" w:rsidP="00977687">
            <w:pPr>
              <w:pStyle w:val="Zkladntextodsazen3"/>
              <w:snapToGrid w:val="0"/>
              <w:spacing w:before="120" w:after="12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</w:rPr>
            </w:pPr>
            <w:r w:rsidRPr="00632F17">
              <w:rPr>
                <w:rFonts w:asciiTheme="minorHAnsi" w:hAnsiTheme="minorHAnsi" w:cstheme="minorHAnsi"/>
                <w:b/>
              </w:rPr>
              <w:t>Lhůta pro provedení dané částí Služeb</w:t>
            </w:r>
          </w:p>
        </w:tc>
      </w:tr>
      <w:tr w:rsidR="0065442A" w:rsidRPr="005851EA" w14:paraId="6674CDB7" w14:textId="77777777" w:rsidTr="00086333">
        <w:trPr>
          <w:cantSplit/>
          <w:jc w:val="center"/>
        </w:trPr>
        <w:tc>
          <w:tcPr>
            <w:tcW w:w="1484" w:type="pct"/>
            <w:vAlign w:val="center"/>
          </w:tcPr>
          <w:p w14:paraId="5900AF7B" w14:textId="77777777" w:rsidR="0065442A" w:rsidRPr="005851EA" w:rsidRDefault="0065442A" w:rsidP="00977687">
            <w:pPr>
              <w:snapToGrid w:val="0"/>
              <w:spacing w:before="120" w:after="120" w:line="276" w:lineRule="auto"/>
              <w:jc w:val="center"/>
            </w:pPr>
            <w:r>
              <w:t>Pravidelné služby</w:t>
            </w:r>
          </w:p>
        </w:tc>
        <w:tc>
          <w:tcPr>
            <w:tcW w:w="1758" w:type="pct"/>
            <w:vAlign w:val="center"/>
          </w:tcPr>
          <w:p w14:paraId="0A58ECE9" w14:textId="77777777" w:rsidR="0065442A" w:rsidRDefault="0065442A" w:rsidP="00086333">
            <w:pPr>
              <w:snapToGrid w:val="0"/>
              <w:spacing w:line="276" w:lineRule="auto"/>
              <w:jc w:val="center"/>
            </w:pPr>
            <w:r>
              <w:t>Provoz a údržba aplikace, účastníkem ve smyslu SaaS, monitoring, správa uživatelů a podpora</w:t>
            </w:r>
          </w:p>
        </w:tc>
        <w:tc>
          <w:tcPr>
            <w:tcW w:w="1758" w:type="pct"/>
            <w:vAlign w:val="center"/>
          </w:tcPr>
          <w:p w14:paraId="1085575A" w14:textId="45D24A72" w:rsidR="0065442A" w:rsidRPr="00A71039" w:rsidRDefault="0065442A" w:rsidP="00977687">
            <w:pPr>
              <w:snapToGrid w:val="0"/>
              <w:spacing w:line="276" w:lineRule="auto"/>
              <w:jc w:val="center"/>
            </w:pPr>
            <w:r>
              <w:t xml:space="preserve">Po dobu </w:t>
            </w:r>
            <w:r w:rsidR="00067041">
              <w:t>neurčitou s vyhodnocovacím / fakturačním ročním obdobím</w:t>
            </w:r>
            <w:r>
              <w:t>, vyjma nezbytné doby inicializační fáze</w:t>
            </w:r>
          </w:p>
        </w:tc>
      </w:tr>
      <w:tr w:rsidR="00BB664A" w:rsidRPr="005851EA" w14:paraId="40497C2A" w14:textId="77777777" w:rsidTr="00057E14">
        <w:trPr>
          <w:cantSplit/>
          <w:jc w:val="center"/>
        </w:trPr>
        <w:tc>
          <w:tcPr>
            <w:tcW w:w="1484" w:type="pct"/>
            <w:vAlign w:val="center"/>
          </w:tcPr>
          <w:p w14:paraId="2A04E443" w14:textId="47B5A3A5" w:rsidR="00BB664A" w:rsidRPr="005851EA" w:rsidRDefault="00BB664A" w:rsidP="00BB664A">
            <w:pPr>
              <w:snapToGrid w:val="0"/>
              <w:spacing w:before="120" w:after="120" w:line="276" w:lineRule="auto"/>
              <w:jc w:val="center"/>
            </w:pPr>
            <w:r>
              <w:t>Rozvojové služby</w:t>
            </w:r>
          </w:p>
        </w:tc>
        <w:tc>
          <w:tcPr>
            <w:tcW w:w="1758" w:type="pct"/>
            <w:vAlign w:val="center"/>
          </w:tcPr>
          <w:p w14:paraId="18B59EB5" w14:textId="10382517" w:rsidR="00BB664A" w:rsidRDefault="00BB664A" w:rsidP="00BB664A">
            <w:pPr>
              <w:snapToGrid w:val="0"/>
              <w:spacing w:line="276" w:lineRule="auto"/>
              <w:jc w:val="center"/>
            </w:pPr>
            <w:r>
              <w:t>Analýza požadavků, návrhy řešení a integrace byznys procesů do prostředí aplikace</w:t>
            </w:r>
          </w:p>
        </w:tc>
        <w:tc>
          <w:tcPr>
            <w:tcW w:w="1758" w:type="pct"/>
            <w:vAlign w:val="center"/>
          </w:tcPr>
          <w:p w14:paraId="0A963A5B" w14:textId="0C8EF56F" w:rsidR="00BB664A" w:rsidRPr="00D22A94" w:rsidRDefault="00067041" w:rsidP="00BB664A">
            <w:pPr>
              <w:snapToGrid w:val="0"/>
              <w:spacing w:line="276" w:lineRule="auto"/>
              <w:jc w:val="center"/>
              <w:rPr>
                <w:shd w:val="clear" w:color="auto" w:fill="00FF00"/>
              </w:rPr>
            </w:pPr>
            <w:r>
              <w:t>Po dobu neurčitou</w:t>
            </w:r>
            <w:r w:rsidR="00BB664A">
              <w:t xml:space="preserve"> s vyhodnocovacím / fakturačním </w:t>
            </w:r>
            <w:r w:rsidR="00BB664A" w:rsidRPr="00890438">
              <w:t>obdobím 6</w:t>
            </w:r>
            <w:r w:rsidR="00BB664A">
              <w:t> </w:t>
            </w:r>
            <w:r w:rsidR="00BB664A" w:rsidRPr="00890438">
              <w:t>kalendářních měsíců</w:t>
            </w:r>
            <w:r w:rsidR="00BB664A">
              <w:t>,</w:t>
            </w:r>
            <w:r w:rsidR="00BB664A">
              <w:br/>
              <w:t>na základě odsouhlasení objednatelem</w:t>
            </w:r>
          </w:p>
        </w:tc>
      </w:tr>
    </w:tbl>
    <w:p w14:paraId="5E2D3F8E" w14:textId="211FCEEA" w:rsidR="0065442A" w:rsidRDefault="00760B84" w:rsidP="00BB664A">
      <w:pPr>
        <w:spacing w:before="240"/>
        <w:jc w:val="both"/>
        <w:rPr>
          <w:rFonts w:cstheme="minorHAnsi"/>
        </w:rPr>
      </w:pPr>
      <w:r>
        <w:t>Dodavatel</w:t>
      </w:r>
      <w:r w:rsidR="0065442A">
        <w:t xml:space="preserve"> se zavazuje v rámci provozu aplikace garantovat 95% dostupnost aplikace v pracovních dnech v době od 6h – 18h, výjimku z toho tvoři předem nahlášení nezbytné odstávky, v této době také </w:t>
      </w:r>
      <w:r>
        <w:t>Dodavatel</w:t>
      </w:r>
      <w:r w:rsidR="0065442A">
        <w:t xml:space="preserve"> poskytuje Zadavateli podporu přes e-mail. Tyto odstávky musí být nahlášené </w:t>
      </w:r>
      <w:r>
        <w:t>Dodavatelem</w:t>
      </w:r>
      <w:r w:rsidR="0065442A">
        <w:t xml:space="preserve"> Zadavateli, alespoň 48h předem a Zadavatel je </w:t>
      </w:r>
      <w:r w:rsidR="008C6DE1">
        <w:t>Dodavateli</w:t>
      </w:r>
      <w:r w:rsidR="0065442A">
        <w:t xml:space="preserve"> musí potvrdit. Doba odstávek </w:t>
      </w:r>
      <w:r w:rsidR="0065442A" w:rsidRPr="00D075A8">
        <w:rPr>
          <w:rFonts w:cstheme="minorHAnsi"/>
        </w:rPr>
        <w:t xml:space="preserve">pak nesmí přesáhnout za dobu </w:t>
      </w:r>
      <w:r w:rsidR="006F6208">
        <w:rPr>
          <w:rFonts w:cstheme="minorHAnsi"/>
        </w:rPr>
        <w:t>2</w:t>
      </w:r>
      <w:r w:rsidR="0065442A" w:rsidRPr="00D075A8">
        <w:rPr>
          <w:rFonts w:cstheme="minorHAnsi"/>
        </w:rPr>
        <w:t xml:space="preserve"> let </w:t>
      </w:r>
      <w:r w:rsidR="006F6208">
        <w:rPr>
          <w:rFonts w:cstheme="minorHAnsi"/>
        </w:rPr>
        <w:t>64</w:t>
      </w:r>
      <w:r w:rsidR="0065442A" w:rsidRPr="00D075A8">
        <w:rPr>
          <w:rFonts w:cstheme="minorHAnsi"/>
        </w:rPr>
        <w:t xml:space="preserve"> hodin.</w:t>
      </w:r>
    </w:p>
    <w:p w14:paraId="35E85C39" w14:textId="77777777" w:rsidR="008E1CD3" w:rsidRDefault="008E1CD3" w:rsidP="00BB664A">
      <w:pPr>
        <w:spacing w:before="240"/>
        <w:jc w:val="both"/>
        <w:rPr>
          <w:rFonts w:cstheme="minorHAnsi"/>
        </w:rPr>
      </w:pPr>
    </w:p>
    <w:p w14:paraId="4A59A453" w14:textId="77777777" w:rsidR="00DB7A43" w:rsidRPr="00FF6FA4" w:rsidRDefault="00DB7A43" w:rsidP="00DB7A43">
      <w:pPr>
        <w:pStyle w:val="Nadpis3"/>
      </w:pPr>
      <w:r w:rsidRPr="00FF6FA4">
        <w:t xml:space="preserve">Řešení </w:t>
      </w:r>
      <w:r>
        <w:t xml:space="preserve">provozních </w:t>
      </w:r>
      <w:r w:rsidRPr="00FF6FA4">
        <w:t>chyb</w:t>
      </w:r>
    </w:p>
    <w:p w14:paraId="6C01F00C" w14:textId="77777777" w:rsidR="00DB7A43" w:rsidRPr="00FF6FA4" w:rsidRDefault="00DB7A43" w:rsidP="00DB7A43">
      <w:r w:rsidRPr="00FF6FA4">
        <w:t>Dodavatel bude dodržovat níže uvedené požadavky:</w:t>
      </w:r>
    </w:p>
    <w:p w14:paraId="2162EBC8" w14:textId="77777777" w:rsidR="00DB7A43" w:rsidRPr="00FF6FA4" w:rsidRDefault="00DB7A43" w:rsidP="00DB7A43"/>
    <w:tbl>
      <w:tblPr>
        <w:tblW w:w="0" w:type="auto"/>
        <w:tblInd w:w="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1"/>
        <w:gridCol w:w="1958"/>
        <w:gridCol w:w="2361"/>
      </w:tblGrid>
      <w:tr w:rsidR="00DB7A43" w:rsidRPr="00FF6FA4" w14:paraId="46580D8D" w14:textId="77777777" w:rsidTr="00C0278C">
        <w:trPr>
          <w:cantSplit/>
        </w:trPr>
        <w:tc>
          <w:tcPr>
            <w:tcW w:w="4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AFC0F07" w14:textId="77777777" w:rsidR="00DB7A43" w:rsidRPr="00FF6FA4" w:rsidRDefault="00DB7A43" w:rsidP="00C0278C">
            <w:pPr>
              <w:pStyle w:val="Normlnweb"/>
            </w:pPr>
            <w:r w:rsidRPr="00FF6FA4">
              <w:rPr>
                <w:rStyle w:val="Siln"/>
              </w:rPr>
              <w:t>Typ chyby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2D9624C" w14:textId="77777777" w:rsidR="00DB7A43" w:rsidRPr="00FF6FA4" w:rsidRDefault="00DB7A43" w:rsidP="00C0278C">
            <w:pPr>
              <w:pStyle w:val="Normlnweb"/>
            </w:pPr>
            <w:r w:rsidRPr="00FF6FA4">
              <w:rPr>
                <w:rStyle w:val="Siln"/>
              </w:rPr>
              <w:t>Reakce</w:t>
            </w:r>
          </w:p>
        </w:tc>
        <w:tc>
          <w:tcPr>
            <w:tcW w:w="2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89CE709" w14:textId="77777777" w:rsidR="00DB7A43" w:rsidRPr="00FF6FA4" w:rsidRDefault="00DB7A43" w:rsidP="00C0278C">
            <w:pPr>
              <w:pStyle w:val="Normlnweb"/>
            </w:pPr>
            <w:r w:rsidRPr="00FF6FA4">
              <w:rPr>
                <w:rStyle w:val="Siln"/>
              </w:rPr>
              <w:t>Řešení</w:t>
            </w:r>
          </w:p>
        </w:tc>
      </w:tr>
      <w:tr w:rsidR="00DB7A43" w:rsidRPr="00FF6FA4" w14:paraId="3B083B16" w14:textId="77777777" w:rsidTr="00C0278C">
        <w:trPr>
          <w:cantSplit/>
          <w:trHeight w:val="373"/>
        </w:trPr>
        <w:tc>
          <w:tcPr>
            <w:tcW w:w="4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B0CA66D" w14:textId="77777777" w:rsidR="00DB7A43" w:rsidRPr="00FF6FA4" w:rsidRDefault="00DB7A43" w:rsidP="00C0278C">
            <w:pPr>
              <w:pStyle w:val="Normlnweb"/>
            </w:pPr>
            <w:r w:rsidRPr="00FF6FA4">
              <w:t>Typ A – kritická chyba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F597305" w14:textId="77777777" w:rsidR="00DB7A43" w:rsidRPr="00FF6FA4" w:rsidRDefault="00DB7A43" w:rsidP="00C0278C">
            <w:pPr>
              <w:pStyle w:val="Normlnweb"/>
            </w:pPr>
            <w:r w:rsidRPr="00FF6FA4">
              <w:t>30 minut</w:t>
            </w:r>
          </w:p>
        </w:tc>
        <w:tc>
          <w:tcPr>
            <w:tcW w:w="2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59E7556" w14:textId="77777777" w:rsidR="00DB7A43" w:rsidRPr="00FF6FA4" w:rsidRDefault="00DB7A43" w:rsidP="00C0278C">
            <w:pPr>
              <w:pStyle w:val="Normlnweb"/>
            </w:pPr>
            <w:r w:rsidRPr="00FF6FA4">
              <w:t>2 hodiny</w:t>
            </w:r>
          </w:p>
        </w:tc>
      </w:tr>
      <w:tr w:rsidR="00DB7A43" w:rsidRPr="00FF6FA4" w14:paraId="5F07CA15" w14:textId="77777777" w:rsidTr="00C0278C">
        <w:trPr>
          <w:cantSplit/>
        </w:trPr>
        <w:tc>
          <w:tcPr>
            <w:tcW w:w="4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5CF8279" w14:textId="77777777" w:rsidR="00DB7A43" w:rsidRPr="00FF6FA4" w:rsidRDefault="00DB7A43" w:rsidP="00C0278C">
            <w:pPr>
              <w:pStyle w:val="Normlnweb"/>
            </w:pPr>
            <w:r w:rsidRPr="00FF6FA4">
              <w:t>Typ B – nekritická chyba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4CD40BC" w14:textId="77777777" w:rsidR="00DB7A43" w:rsidRPr="00FF6FA4" w:rsidRDefault="00DB7A43" w:rsidP="00C0278C">
            <w:pPr>
              <w:pStyle w:val="Normlnweb"/>
            </w:pPr>
            <w:r w:rsidRPr="00FF6FA4">
              <w:t>2 hodiny</w:t>
            </w:r>
          </w:p>
        </w:tc>
        <w:tc>
          <w:tcPr>
            <w:tcW w:w="2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13951E7" w14:textId="77777777" w:rsidR="00DB7A43" w:rsidRPr="00FF6FA4" w:rsidRDefault="00DB7A43" w:rsidP="00C0278C">
            <w:pPr>
              <w:pStyle w:val="Normlnweb"/>
            </w:pPr>
            <w:r w:rsidRPr="00FF6FA4">
              <w:t>8 hodin</w:t>
            </w:r>
          </w:p>
        </w:tc>
      </w:tr>
      <w:tr w:rsidR="00DB7A43" w:rsidRPr="00FF6FA4" w14:paraId="54649FB8" w14:textId="77777777" w:rsidTr="00C0278C">
        <w:trPr>
          <w:cantSplit/>
          <w:trHeight w:val="502"/>
        </w:trPr>
        <w:tc>
          <w:tcPr>
            <w:tcW w:w="4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8E06630" w14:textId="77777777" w:rsidR="00DB7A43" w:rsidRPr="00FF6FA4" w:rsidRDefault="00DB7A43" w:rsidP="00C0278C">
            <w:pPr>
              <w:pStyle w:val="Normlnweb"/>
            </w:pPr>
            <w:r w:rsidRPr="00FF6FA4">
              <w:t>Typ C – vynucený požadavek (aktualizace platformy, nová verze OS)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3BD221E" w14:textId="77777777" w:rsidR="00DB7A43" w:rsidRPr="00FF6FA4" w:rsidRDefault="00DB7A43" w:rsidP="00C0278C">
            <w:pPr>
              <w:pStyle w:val="Normlnweb"/>
            </w:pPr>
            <w:r w:rsidRPr="00FF6FA4">
              <w:t>8 hodin</w:t>
            </w:r>
          </w:p>
        </w:tc>
        <w:tc>
          <w:tcPr>
            <w:tcW w:w="2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9D2BB34" w14:textId="77777777" w:rsidR="00DB7A43" w:rsidRPr="00FF6FA4" w:rsidRDefault="00DB7A43" w:rsidP="00C0278C">
            <w:pPr>
              <w:pStyle w:val="Normlnweb"/>
            </w:pPr>
            <w:r w:rsidRPr="00FF6FA4">
              <w:t>dle náročnosti</w:t>
            </w:r>
          </w:p>
        </w:tc>
      </w:tr>
    </w:tbl>
    <w:p w14:paraId="335029EA" w14:textId="77777777" w:rsidR="00DB7A43" w:rsidRPr="00FF6FA4" w:rsidRDefault="00DB7A43" w:rsidP="00DB7A43"/>
    <w:p w14:paraId="2564C835" w14:textId="77777777" w:rsidR="00DB7A43" w:rsidRPr="00FF6FA4" w:rsidRDefault="00DB7A43" w:rsidP="00DB7A43">
      <w:r w:rsidRPr="00FF6FA4">
        <w:t xml:space="preserve">Doba řešení je počítána od přijetí chyby a řešení probíhá pouze v pracovní dny v čase od 6:00 do 18:00. </w:t>
      </w:r>
    </w:p>
    <w:p w14:paraId="266156B2" w14:textId="77777777" w:rsidR="00DB7A43" w:rsidRPr="00FF6FA4" w:rsidRDefault="00DB7A43" w:rsidP="00DB7A43"/>
    <w:p w14:paraId="7F47C267" w14:textId="77777777" w:rsidR="00DB7A43" w:rsidRPr="00FF6FA4" w:rsidRDefault="00DB7A43" w:rsidP="00DB7A43">
      <w:r w:rsidRPr="00FF6FA4">
        <w:t>Typ chyb a požadavků:</w:t>
      </w:r>
    </w:p>
    <w:p w14:paraId="7EF9DE27" w14:textId="77777777" w:rsidR="00DB7A43" w:rsidRPr="00FF6FA4" w:rsidRDefault="00DB7A43" w:rsidP="00DB7A43">
      <w:pPr>
        <w:pStyle w:val="Odstavecseseznamem"/>
        <w:numPr>
          <w:ilvl w:val="0"/>
          <w:numId w:val="3"/>
        </w:numPr>
      </w:pPr>
      <w:r w:rsidRPr="00FF6FA4">
        <w:rPr>
          <w:b/>
          <w:bCs/>
        </w:rPr>
        <w:t>Typ A</w:t>
      </w:r>
      <w:r w:rsidRPr="00FF6FA4">
        <w:t xml:space="preserve"> – kritická chyba způsobující nedostupnost systému a zabraňuje výkonu práce v systému. </w:t>
      </w:r>
    </w:p>
    <w:p w14:paraId="52CC7E5F" w14:textId="77777777" w:rsidR="00DB7A43" w:rsidRPr="00FF6FA4" w:rsidRDefault="00DB7A43" w:rsidP="00DB7A43">
      <w:pPr>
        <w:pStyle w:val="Odstavecseseznamem"/>
        <w:numPr>
          <w:ilvl w:val="0"/>
          <w:numId w:val="3"/>
        </w:numPr>
      </w:pPr>
      <w:r w:rsidRPr="00FF6FA4">
        <w:rPr>
          <w:b/>
          <w:bCs/>
        </w:rPr>
        <w:t>Typ B</w:t>
      </w:r>
      <w:r w:rsidRPr="00FF6FA4">
        <w:t xml:space="preserve"> – nekritická chyba způsobující zhoršení odezvy systému, ale systém je stále dostupný a chyba nebrání výkonu práce v systému.</w:t>
      </w:r>
    </w:p>
    <w:p w14:paraId="7593C855" w14:textId="2DA2BC8D" w:rsidR="00DB7A43" w:rsidRPr="00FF6FA4" w:rsidRDefault="00DB7A43" w:rsidP="00DB7A43">
      <w:pPr>
        <w:pStyle w:val="Odstavecseseznamem"/>
        <w:numPr>
          <w:ilvl w:val="0"/>
          <w:numId w:val="3"/>
        </w:numPr>
      </w:pPr>
      <w:r w:rsidRPr="00FF6FA4">
        <w:rPr>
          <w:b/>
          <w:bCs/>
        </w:rPr>
        <w:t>Typ C</w:t>
      </w:r>
      <w:r w:rsidRPr="00FF6FA4">
        <w:t xml:space="preserve"> – vynucený požadavek ze stran aktualizace platformy nebo operačního systému a jeho dílčích části. Například nová verze jádra OS</w:t>
      </w:r>
    </w:p>
    <w:p w14:paraId="66CC0388" w14:textId="68E0E333" w:rsidR="00DB7A43" w:rsidRPr="00FF6FA4" w:rsidRDefault="00DB7A43" w:rsidP="00DB7A43">
      <w:r w:rsidRPr="00FF6FA4">
        <w:br w:type="page"/>
      </w:r>
      <w:r w:rsidRPr="00FF6FA4">
        <w:lastRenderedPageBreak/>
        <w:t>Způsob hlášení chyb:</w:t>
      </w:r>
    </w:p>
    <w:tbl>
      <w:tblPr>
        <w:tblW w:w="0" w:type="auto"/>
        <w:tblInd w:w="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3"/>
        <w:gridCol w:w="6037"/>
      </w:tblGrid>
      <w:tr w:rsidR="00DB7A43" w:rsidRPr="00FF6FA4" w14:paraId="2496EC8F" w14:textId="77777777" w:rsidTr="00C0278C">
        <w:trPr>
          <w:cantSplit/>
        </w:trPr>
        <w:tc>
          <w:tcPr>
            <w:tcW w:w="2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BB06E32" w14:textId="77777777" w:rsidR="00DB7A43" w:rsidRPr="00FF6FA4" w:rsidRDefault="00DB7A43" w:rsidP="00C0278C">
            <w:pPr>
              <w:pStyle w:val="Normlnweb"/>
            </w:pPr>
            <w:r w:rsidRPr="00FF6FA4">
              <w:rPr>
                <w:rStyle w:val="Siln"/>
              </w:rPr>
              <w:t>Typ chyby</w:t>
            </w:r>
          </w:p>
        </w:tc>
        <w:tc>
          <w:tcPr>
            <w:tcW w:w="6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A803C51" w14:textId="77777777" w:rsidR="00DB7A43" w:rsidRPr="00FF6FA4" w:rsidRDefault="00DB7A43" w:rsidP="00C0278C">
            <w:pPr>
              <w:pStyle w:val="Normlnweb"/>
            </w:pPr>
            <w:r w:rsidRPr="00FF6FA4">
              <w:rPr>
                <w:rStyle w:val="Siln"/>
              </w:rPr>
              <w:t>Způsob komunikace</w:t>
            </w:r>
          </w:p>
        </w:tc>
      </w:tr>
      <w:tr w:rsidR="00DB7A43" w:rsidRPr="00FF6FA4" w14:paraId="5B5CAD36" w14:textId="77777777" w:rsidTr="00C0278C">
        <w:trPr>
          <w:cantSplit/>
        </w:trPr>
        <w:tc>
          <w:tcPr>
            <w:tcW w:w="2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CFDEA9D" w14:textId="77777777" w:rsidR="00DB7A43" w:rsidRPr="00FF6FA4" w:rsidRDefault="00DB7A43" w:rsidP="00C0278C">
            <w:pPr>
              <w:pStyle w:val="Normlnweb"/>
            </w:pPr>
            <w:r w:rsidRPr="00FF6FA4">
              <w:t>Požadavky typu A</w:t>
            </w:r>
          </w:p>
        </w:tc>
        <w:tc>
          <w:tcPr>
            <w:tcW w:w="6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41E5982" w14:textId="77777777" w:rsidR="00DB7A43" w:rsidRPr="00FF6FA4" w:rsidRDefault="00DB7A43" w:rsidP="00C0278C">
            <w:pPr>
              <w:pStyle w:val="Normlnweb"/>
            </w:pPr>
            <w:r w:rsidRPr="00FF6FA4">
              <w:t>Kontakty dle smlouvy (pokud se strany nedohodnou jinak)</w:t>
            </w:r>
          </w:p>
        </w:tc>
      </w:tr>
      <w:tr w:rsidR="00DB7A43" w:rsidRPr="00FF6FA4" w14:paraId="0661FE74" w14:textId="77777777" w:rsidTr="00C0278C">
        <w:trPr>
          <w:cantSplit/>
        </w:trPr>
        <w:tc>
          <w:tcPr>
            <w:tcW w:w="2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D6DDA6B" w14:textId="77777777" w:rsidR="00DB7A43" w:rsidRPr="00FF6FA4" w:rsidRDefault="00DB7A43" w:rsidP="00C0278C">
            <w:pPr>
              <w:pStyle w:val="Normlnweb"/>
            </w:pPr>
            <w:r w:rsidRPr="00FF6FA4">
              <w:t>Požadavky typu B a C</w:t>
            </w:r>
          </w:p>
        </w:tc>
        <w:tc>
          <w:tcPr>
            <w:tcW w:w="6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A6100A1" w14:textId="77777777" w:rsidR="00DB7A43" w:rsidRPr="00FF6FA4" w:rsidRDefault="00DB7A43" w:rsidP="00C0278C">
            <w:pPr>
              <w:pStyle w:val="Normlnweb"/>
              <w:rPr>
                <w:color w:val="0000FF"/>
                <w:u w:val="single"/>
              </w:rPr>
            </w:pPr>
            <w:r w:rsidRPr="004C3662">
              <w:t>Emailová/telefonická podpora</w:t>
            </w:r>
          </w:p>
        </w:tc>
      </w:tr>
    </w:tbl>
    <w:p w14:paraId="786B5312" w14:textId="77777777" w:rsidR="00DB7A43" w:rsidRPr="00FF6FA4" w:rsidRDefault="00DB7A43" w:rsidP="00DB7A43">
      <w:pPr>
        <w:pStyle w:val="Nadpis3"/>
      </w:pPr>
      <w:r w:rsidRPr="00FF6FA4">
        <w:t>Penalizace při porušení SLA</w:t>
      </w:r>
    </w:p>
    <w:p w14:paraId="485EDCD0" w14:textId="77777777" w:rsidR="00DB7A43" w:rsidRPr="00FF6FA4" w:rsidRDefault="00DB7A43" w:rsidP="00DB7A43">
      <w:r w:rsidRPr="00FF6FA4">
        <w:t>Penalizace bude vypočtena dle níže uvedené tabulky a o tuto částku bude snížena cena služeb v následujícím měsíci. Opakované poru</w:t>
      </w:r>
      <w:r>
        <w:t>š</w:t>
      </w:r>
      <w:r w:rsidRPr="00FF6FA4">
        <w:t>ení SLA je považováno za závažné porušení smlouvy ze strany dodavatele.</w:t>
      </w:r>
    </w:p>
    <w:p w14:paraId="7A49FA64" w14:textId="77777777" w:rsidR="00DB7A43" w:rsidRPr="00FF6FA4" w:rsidRDefault="00DB7A43" w:rsidP="00DB7A43"/>
    <w:tbl>
      <w:tblPr>
        <w:tblW w:w="0" w:type="auto"/>
        <w:tblInd w:w="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8"/>
        <w:gridCol w:w="1682"/>
        <w:gridCol w:w="2124"/>
        <w:gridCol w:w="1976"/>
      </w:tblGrid>
      <w:tr w:rsidR="00DB7A43" w:rsidRPr="00036382" w14:paraId="16148AD7" w14:textId="77777777" w:rsidTr="00C0278C">
        <w:trPr>
          <w:cantSplit/>
        </w:trPr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317BE93" w14:textId="77777777" w:rsidR="00DB7A43" w:rsidRPr="00036382" w:rsidRDefault="00DB7A43" w:rsidP="00C0278C">
            <w:pPr>
              <w:pStyle w:val="Normlnweb"/>
            </w:pPr>
            <w:r w:rsidRPr="00036382">
              <w:rPr>
                <w:rStyle w:val="Siln"/>
              </w:rPr>
              <w:t>Parametr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0F6C4C6" w14:textId="77777777" w:rsidR="00DB7A43" w:rsidRPr="00036382" w:rsidRDefault="00DB7A43" w:rsidP="00C0278C">
            <w:pPr>
              <w:pStyle w:val="Normlnweb"/>
            </w:pPr>
            <w:r w:rsidRPr="00036382">
              <w:rPr>
                <w:rStyle w:val="Siln"/>
              </w:rPr>
              <w:t>Výše penále</w:t>
            </w:r>
          </w:p>
        </w:tc>
        <w:tc>
          <w:tcPr>
            <w:tcW w:w="2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5E7C2B0" w14:textId="77777777" w:rsidR="00DB7A43" w:rsidRPr="00036382" w:rsidRDefault="00DB7A43" w:rsidP="00C0278C">
            <w:pPr>
              <w:pStyle w:val="Normlnweb"/>
              <w:rPr>
                <w:rStyle w:val="Siln"/>
              </w:rPr>
            </w:pPr>
            <w:r w:rsidRPr="00036382">
              <w:rPr>
                <w:rStyle w:val="Siln"/>
              </w:rPr>
              <w:t>Maximální penále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724B3DA" w14:textId="77777777" w:rsidR="00DB7A43" w:rsidRPr="00036382" w:rsidRDefault="00DB7A43" w:rsidP="00C0278C">
            <w:pPr>
              <w:pStyle w:val="Normlnweb"/>
              <w:rPr>
                <w:rStyle w:val="Siln"/>
              </w:rPr>
            </w:pPr>
            <w:r w:rsidRPr="00036382">
              <w:rPr>
                <w:rStyle w:val="Siln"/>
              </w:rPr>
              <w:t>Způsob výpočtu</w:t>
            </w:r>
          </w:p>
        </w:tc>
      </w:tr>
      <w:tr w:rsidR="00DB7A43" w:rsidRPr="00036382" w14:paraId="40FFE286" w14:textId="77777777" w:rsidTr="00C0278C">
        <w:trPr>
          <w:cantSplit/>
          <w:trHeight w:val="20"/>
        </w:trPr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D1F0903" w14:textId="77777777" w:rsidR="00DB7A43" w:rsidRPr="00036382" w:rsidRDefault="00DB7A43" w:rsidP="00C0278C">
            <w:r w:rsidRPr="00036382">
              <w:t xml:space="preserve">Dostupnost služby </w:t>
            </w:r>
          </w:p>
          <w:p w14:paraId="1AA986B1" w14:textId="77777777" w:rsidR="00DB7A43" w:rsidRPr="00036382" w:rsidRDefault="00DB7A43" w:rsidP="00C0278C">
            <w:r w:rsidRPr="00036382">
              <w:t>[v %/měsíc]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4A0FC87" w14:textId="77777777" w:rsidR="00DB7A43" w:rsidRPr="00036382" w:rsidRDefault="00DB7A43" w:rsidP="00C0278C">
            <w:pPr>
              <w:pStyle w:val="Normlnweb"/>
            </w:pPr>
            <w:r w:rsidRPr="00036382">
              <w:t>200,- Kč</w:t>
            </w:r>
          </w:p>
        </w:tc>
        <w:tc>
          <w:tcPr>
            <w:tcW w:w="21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04CB24" w14:textId="77777777" w:rsidR="00DB7A43" w:rsidRPr="00036382" w:rsidRDefault="00DB7A43" w:rsidP="00C0278C">
            <w:pPr>
              <w:pStyle w:val="Normlnweb"/>
              <w:jc w:val="center"/>
            </w:pPr>
            <w:r w:rsidRPr="00036382">
              <w:t>do výše měsíční platby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F206E8" w14:textId="77777777" w:rsidR="00DB7A43" w:rsidRPr="00036382" w:rsidRDefault="00DB7A43" w:rsidP="00C0278C">
            <w:pPr>
              <w:pStyle w:val="Normlnweb"/>
              <w:jc w:val="center"/>
            </w:pPr>
            <w:r w:rsidRPr="00036382">
              <w:t>za každých započatých 0,1% přes povolený limit</w:t>
            </w:r>
          </w:p>
        </w:tc>
      </w:tr>
      <w:tr w:rsidR="00DB7A43" w:rsidRPr="00FF6FA4" w14:paraId="0F94D6E2" w14:textId="77777777" w:rsidTr="00C0278C">
        <w:trPr>
          <w:cantSplit/>
          <w:trHeight w:val="20"/>
        </w:trPr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3A20C44" w14:textId="77777777" w:rsidR="00DB7A43" w:rsidRPr="00036382" w:rsidRDefault="00DB7A43" w:rsidP="00C0278C">
            <w:r w:rsidRPr="00036382">
              <w:t>Chyby/požadavku B a C [hod.]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ABD6185" w14:textId="77777777" w:rsidR="00DB7A43" w:rsidRPr="00036382" w:rsidRDefault="00DB7A43" w:rsidP="00C0278C">
            <w:pPr>
              <w:pStyle w:val="Normlnweb"/>
              <w:rPr>
                <w:color w:val="0000FF"/>
                <w:u w:val="single"/>
              </w:rPr>
            </w:pPr>
            <w:r w:rsidRPr="00036382">
              <w:t>500,- Kč</w:t>
            </w:r>
          </w:p>
        </w:tc>
        <w:tc>
          <w:tcPr>
            <w:tcW w:w="21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531CD4" w14:textId="77777777" w:rsidR="00DB7A43" w:rsidRPr="00036382" w:rsidRDefault="00DB7A43" w:rsidP="00C0278C">
            <w:pPr>
              <w:pStyle w:val="Normlnweb"/>
            </w:pPr>
          </w:p>
        </w:tc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5F856" w14:textId="77777777" w:rsidR="00DB7A43" w:rsidRPr="00FF6FA4" w:rsidRDefault="00DB7A43" w:rsidP="00C0278C">
            <w:pPr>
              <w:pStyle w:val="Normlnweb"/>
              <w:jc w:val="center"/>
            </w:pPr>
            <w:r w:rsidRPr="00036382">
              <w:t>za každou započatou 1 hodinu služby přes povolený limit</w:t>
            </w:r>
          </w:p>
        </w:tc>
      </w:tr>
    </w:tbl>
    <w:p w14:paraId="0DDF97BC" w14:textId="77777777" w:rsidR="008C6DE1" w:rsidRDefault="008C6DE1" w:rsidP="00BB664A">
      <w:pPr>
        <w:spacing w:before="240"/>
        <w:jc w:val="both"/>
        <w:rPr>
          <w:rFonts w:cstheme="minorHAnsi"/>
        </w:rPr>
      </w:pPr>
    </w:p>
    <w:sectPr w:rsidR="008C6D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92608" w14:textId="77777777" w:rsidR="00DA0F41" w:rsidRDefault="00DA0F41" w:rsidP="00BB664A">
      <w:r>
        <w:separator/>
      </w:r>
    </w:p>
  </w:endnote>
  <w:endnote w:type="continuationSeparator" w:id="0">
    <w:p w14:paraId="0A458D47" w14:textId="77777777" w:rsidR="00DA0F41" w:rsidRDefault="00DA0F41" w:rsidP="00BB6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5261106"/>
      <w:docPartObj>
        <w:docPartGallery w:val="Page Numbers (Bottom of Page)"/>
        <w:docPartUnique/>
      </w:docPartObj>
    </w:sdtPr>
    <w:sdtEndPr/>
    <w:sdtContent>
      <w:p w14:paraId="252F985A" w14:textId="189EB938" w:rsidR="00BB664A" w:rsidRDefault="00BB664A" w:rsidP="00BB664A">
        <w:pPr>
          <w:pStyle w:val="Zpat"/>
          <w:jc w:val="center"/>
        </w:pPr>
        <w:r>
          <w:t xml:space="preserve">Strana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z </w:t>
        </w:r>
        <w:r w:rsidR="000702F9"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3CC14" w14:textId="77777777" w:rsidR="00DA0F41" w:rsidRDefault="00DA0F41" w:rsidP="00BB664A">
      <w:r>
        <w:separator/>
      </w:r>
    </w:p>
  </w:footnote>
  <w:footnote w:type="continuationSeparator" w:id="0">
    <w:p w14:paraId="518B4302" w14:textId="77777777" w:rsidR="00DA0F41" w:rsidRDefault="00DA0F41" w:rsidP="00BB6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B3175"/>
    <w:multiLevelType w:val="hybridMultilevel"/>
    <w:tmpl w:val="39549B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43C07"/>
    <w:multiLevelType w:val="hybridMultilevel"/>
    <w:tmpl w:val="329CE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5031A"/>
    <w:multiLevelType w:val="hybridMultilevel"/>
    <w:tmpl w:val="46266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726877">
    <w:abstractNumId w:val="2"/>
  </w:num>
  <w:num w:numId="2" w16cid:durableId="1082023882">
    <w:abstractNumId w:val="0"/>
  </w:num>
  <w:num w:numId="3" w16cid:durableId="31261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42A"/>
    <w:rsid w:val="000162C7"/>
    <w:rsid w:val="00022972"/>
    <w:rsid w:val="00057E14"/>
    <w:rsid w:val="00067041"/>
    <w:rsid w:val="000702F9"/>
    <w:rsid w:val="00086333"/>
    <w:rsid w:val="000B7D9E"/>
    <w:rsid w:val="00224189"/>
    <w:rsid w:val="00363F3E"/>
    <w:rsid w:val="003B7935"/>
    <w:rsid w:val="003C4189"/>
    <w:rsid w:val="00435857"/>
    <w:rsid w:val="00510D2A"/>
    <w:rsid w:val="005C25DA"/>
    <w:rsid w:val="00601815"/>
    <w:rsid w:val="00605858"/>
    <w:rsid w:val="0065442A"/>
    <w:rsid w:val="00660D07"/>
    <w:rsid w:val="006B6AD8"/>
    <w:rsid w:val="006F6208"/>
    <w:rsid w:val="00700EEF"/>
    <w:rsid w:val="00760B84"/>
    <w:rsid w:val="007A581B"/>
    <w:rsid w:val="008C6DE1"/>
    <w:rsid w:val="008E1CD3"/>
    <w:rsid w:val="00903783"/>
    <w:rsid w:val="00907ABF"/>
    <w:rsid w:val="00AE7151"/>
    <w:rsid w:val="00BB664A"/>
    <w:rsid w:val="00C141DB"/>
    <w:rsid w:val="00DA0F41"/>
    <w:rsid w:val="00DB7A43"/>
    <w:rsid w:val="00F40964"/>
    <w:rsid w:val="00F8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3C643"/>
  <w15:chartTrackingRefBased/>
  <w15:docId w15:val="{ADF10B1B-2572-421B-9EDB-D3A24081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442A"/>
    <w:pPr>
      <w:spacing w:after="0" w:line="240" w:lineRule="auto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44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544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5442A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rsid w:val="0065442A"/>
    <w:pPr>
      <w:widowControl w:val="0"/>
      <w:tabs>
        <w:tab w:val="left" w:pos="8640"/>
      </w:tabs>
      <w:suppressAutoHyphens/>
      <w:spacing w:after="240"/>
      <w:ind w:left="4320" w:hanging="4320"/>
    </w:pPr>
    <w:rPr>
      <w:rFonts w:ascii="Times New Roman" w:eastAsia="Arial Unicode MS" w:hAnsi="Times New Roman" w:cs="Times New Roman"/>
      <w:kern w:val="1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5442A"/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65442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65442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B66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B664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B66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664A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DB7A4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Petr Nádvorník</cp:lastModifiedBy>
  <cp:revision>4</cp:revision>
  <cp:lastPrinted>2023-08-08T13:16:00Z</cp:lastPrinted>
  <dcterms:created xsi:type="dcterms:W3CDTF">2024-08-07T05:35:00Z</dcterms:created>
  <dcterms:modified xsi:type="dcterms:W3CDTF">2024-08-07T07:25:00Z</dcterms:modified>
</cp:coreProperties>
</file>