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96CA144"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043156" w:rsidRPr="00043156">
        <w:rPr>
          <w:b/>
          <w:bCs/>
          <w:sz w:val="22"/>
          <w:szCs w:val="22"/>
        </w:rPr>
        <w:t>III/10521 Sestrouň, most přes potok Mastník před Sestrouní ev. č. 10521-1 -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55F77E56"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043156" w:rsidRPr="00043156">
        <w:rPr>
          <w:b/>
          <w:bCs/>
          <w:sz w:val="22"/>
          <w:szCs w:val="22"/>
        </w:rPr>
        <w:t>III/10521 Sestrouň, most přes potok Mastník před Sestrouní ev. č. 10521-1</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49F53DF9"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EB073F">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133CE41A"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EB073F">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04AB3D8"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B21CE6">
            <w:rPr>
              <w:bCs/>
              <w:sz w:val="22"/>
              <w:szCs w:val="22"/>
            </w:rPr>
            <w:t>2</w:t>
          </w:r>
          <w:r w:rsidR="00A03276">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90156E4" w:rsidR="000F1161" w:rsidRPr="00C276BC" w:rsidRDefault="000F1161" w:rsidP="000F1161">
      <w:pPr>
        <w:jc w:val="center"/>
        <w:rPr>
          <w:rFonts w:eastAsia="Arial"/>
          <w:b/>
          <w:bCs/>
          <w:sz w:val="22"/>
          <w:szCs w:val="22"/>
        </w:rPr>
      </w:pPr>
      <w:r w:rsidRPr="00C276BC">
        <w:rPr>
          <w:rFonts w:eastAsia="Arial"/>
          <w:b/>
          <w:bCs/>
          <w:sz w:val="22"/>
          <w:szCs w:val="22"/>
        </w:rPr>
        <w:t>„</w:t>
      </w:r>
      <w:r w:rsidR="00653749" w:rsidRPr="00653749">
        <w:rPr>
          <w:b/>
          <w:bCs/>
          <w:sz w:val="22"/>
          <w:szCs w:val="22"/>
        </w:rPr>
        <w:t>III/0103 Zápy, most ev. č. 0103-2 přes dálnici D10 před obcí Zápy</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939D1" w14:textId="77777777" w:rsidR="004F1AF7" w:rsidRDefault="004F1AF7" w:rsidP="00EC43CC">
      <w:r>
        <w:separator/>
      </w:r>
    </w:p>
  </w:endnote>
  <w:endnote w:type="continuationSeparator" w:id="0">
    <w:p w14:paraId="014BD46E" w14:textId="77777777" w:rsidR="004F1AF7" w:rsidRDefault="004F1AF7" w:rsidP="00EC43CC">
      <w:r>
        <w:continuationSeparator/>
      </w:r>
    </w:p>
  </w:endnote>
  <w:endnote w:type="continuationNotice" w:id="1">
    <w:p w14:paraId="7526C836" w14:textId="77777777" w:rsidR="004F1AF7" w:rsidRDefault="004F1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21EF" w14:textId="77777777" w:rsidR="004F1AF7" w:rsidRDefault="004F1AF7" w:rsidP="00EC43CC">
      <w:r>
        <w:separator/>
      </w:r>
    </w:p>
  </w:footnote>
  <w:footnote w:type="continuationSeparator" w:id="0">
    <w:p w14:paraId="3E4A39CB" w14:textId="77777777" w:rsidR="004F1AF7" w:rsidRDefault="004F1AF7" w:rsidP="00EC43CC">
      <w:r>
        <w:continuationSeparator/>
      </w:r>
    </w:p>
  </w:footnote>
  <w:footnote w:type="continuationNotice" w:id="1">
    <w:p w14:paraId="20332CA7" w14:textId="77777777" w:rsidR="004F1AF7" w:rsidRDefault="004F1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3156"/>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23E9"/>
    <w:rsid w:val="004E4FDB"/>
    <w:rsid w:val="004E542B"/>
    <w:rsid w:val="004F09FB"/>
    <w:rsid w:val="004F0CFB"/>
    <w:rsid w:val="004F1AF7"/>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073F"/>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F4F7F"/>
    <w:rsid w:val="006004B6"/>
    <w:rsid w:val="006932F9"/>
    <w:rsid w:val="00693383"/>
    <w:rsid w:val="0079042D"/>
    <w:rsid w:val="0086146E"/>
    <w:rsid w:val="00877CB2"/>
    <w:rsid w:val="008A4955"/>
    <w:rsid w:val="008C00AE"/>
    <w:rsid w:val="008C424B"/>
    <w:rsid w:val="00945D1B"/>
    <w:rsid w:val="00983D84"/>
    <w:rsid w:val="00984660"/>
    <w:rsid w:val="00B01BB8"/>
    <w:rsid w:val="00B232DE"/>
    <w:rsid w:val="00B3672A"/>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EC5EB7"/>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5.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4297</Words>
  <Characters>25357</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18</cp:revision>
  <dcterms:created xsi:type="dcterms:W3CDTF">2024-11-21T10:14:00Z</dcterms:created>
  <dcterms:modified xsi:type="dcterms:W3CDTF">2025-03-18T12:22:00Z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