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224C" w:rsidRPr="009E2F67" w:rsidRDefault="00C405D3" w:rsidP="0065224C">
      <w:pPr>
        <w:tabs>
          <w:tab w:val="left" w:pos="5670"/>
        </w:tabs>
        <w:rPr>
          <w:rFonts w:ascii="Arial" w:hAnsi="Arial" w:cs="Arial"/>
          <w:b/>
          <w:sz w:val="24"/>
          <w:szCs w:val="24"/>
        </w:rPr>
      </w:pPr>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p>
    <w:p w:rsidR="0065224C" w:rsidRPr="00B94A41" w:rsidRDefault="00B83EB3" w:rsidP="0065224C">
      <w:pPr>
        <w:rPr>
          <w:rFonts w:ascii="Arial" w:hAnsi="Arial" w:cs="Arial"/>
          <w:sz w:val="24"/>
          <w:szCs w:val="24"/>
        </w:rPr>
      </w:pPr>
      <w:r>
        <w:rPr>
          <w:rFonts w:ascii="Arial" w:hAnsi="Arial" w:cs="Arial"/>
          <w:sz w:val="24"/>
          <w:szCs w:val="24"/>
        </w:rPr>
        <w:t>r.č</w:t>
      </w:r>
      <w:r w:rsidR="00181A0F">
        <w:rPr>
          <w:rFonts w:ascii="Arial" w:hAnsi="Arial" w:cs="Arial"/>
          <w:sz w:val="24"/>
          <w:szCs w:val="24"/>
        </w:rPr>
        <w:t>.</w:t>
      </w:r>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EC401C"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EC401C"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sz w:val="24"/>
          <w:szCs w:val="24"/>
        </w:rPr>
      </w:pPr>
      <w:r>
        <w:rPr>
          <w:rFonts w:ascii="Arial" w:hAnsi="Arial" w:cs="Arial"/>
          <w:bCs/>
          <w:color w:val="000000"/>
          <w:sz w:val="24"/>
          <w:szCs w:val="24"/>
        </w:rPr>
        <w:t>za ktero</w:t>
      </w:r>
      <w:r w:rsidR="00485DCC">
        <w:rPr>
          <w:rFonts w:ascii="Arial" w:hAnsi="Arial" w:cs="Arial"/>
          <w:bCs/>
          <w:color w:val="000000"/>
          <w:sz w:val="24"/>
          <w:szCs w:val="24"/>
        </w:rPr>
        <w:t xml:space="preserve">u jedná </w:t>
      </w:r>
      <w:r w:rsidR="000E6F9F">
        <w:rPr>
          <w:rFonts w:ascii="Arial" w:hAnsi="Arial" w:cs="Arial"/>
          <w:sz w:val="24"/>
          <w:szCs w:val="24"/>
        </w:rPr>
        <w:t>Ing. Aleš Čermák, PhD. MBA, ředitel</w:t>
      </w: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96240C">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00A87DB8">
        <w:rPr>
          <w:rFonts w:ascii="Arial" w:hAnsi="Arial" w:cs="Arial"/>
          <w:sz w:val="24"/>
          <w:szCs w:val="24"/>
        </w:rPr>
        <w:t xml:space="preserve">výlučným </w:t>
      </w:r>
      <w:r>
        <w:rPr>
          <w:rFonts w:ascii="Arial" w:hAnsi="Arial" w:cs="Arial"/>
          <w:sz w:val="24"/>
          <w:szCs w:val="24"/>
        </w:rPr>
        <w:t xml:space="preserve">vlastníkem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EF47E9">
        <w:rPr>
          <w:rFonts w:ascii="Arial" w:hAnsi="Arial" w:cs="Arial"/>
          <w:sz w:val="24"/>
          <w:szCs w:val="24"/>
          <w:highlight w:val="green"/>
        </w:rPr>
        <w:t>druh pozemku</w:t>
      </w:r>
      <w:r w:rsidR="00EF47E9" w:rsidRPr="00EF47E9">
        <w:rPr>
          <w:rFonts w:ascii="Arial" w:hAnsi="Arial" w:cs="Arial"/>
          <w:sz w:val="24"/>
          <w:szCs w:val="24"/>
          <w:highlight w:val="green"/>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r w:rsidR="00181A0F" w:rsidRPr="00A168D1">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k.ú. </w:t>
      </w:r>
      <w:r w:rsidR="00C405D3" w:rsidRPr="00C405D3">
        <w:rPr>
          <w:rFonts w:ascii="Arial" w:hAnsi="Arial" w:cs="Arial"/>
          <w:sz w:val="24"/>
          <w:szCs w:val="24"/>
          <w:highlight w:val="green"/>
        </w:rPr>
        <w:t>bude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EC401C"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 xml:space="preserve">Prodávající se touto smlouvou zavazuje odevzdat předmět smlouvy uvedený v čl. I. této smlouvy, a to </w:t>
      </w:r>
      <w:r w:rsidRPr="00A168D1">
        <w:rPr>
          <w:rFonts w:ascii="Arial" w:hAnsi="Arial" w:cs="Arial"/>
          <w:sz w:val="24"/>
          <w:szCs w:val="24"/>
          <w:highlight w:val="yellow"/>
        </w:rPr>
        <w:t>poze</w:t>
      </w:r>
      <w:r w:rsidR="00A87DB8">
        <w:rPr>
          <w:rFonts w:ascii="Arial" w:hAnsi="Arial" w:cs="Arial"/>
          <w:sz w:val="24"/>
          <w:szCs w:val="24"/>
          <w:highlight w:val="yellow"/>
        </w:rPr>
        <w:t>mek</w:t>
      </w:r>
      <w:r w:rsidRPr="00A168D1">
        <w:rPr>
          <w:rFonts w:ascii="Arial" w:hAnsi="Arial" w:cs="Arial"/>
          <w:sz w:val="24"/>
          <w:szCs w:val="24"/>
          <w:highlight w:val="yellow"/>
        </w:rPr>
        <w:t xml:space="preserve">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r>
        <w:rPr>
          <w:rFonts w:ascii="Arial" w:hAnsi="Arial" w:cs="Arial"/>
          <w:sz w:val="24"/>
          <w:szCs w:val="24"/>
        </w:rPr>
        <w:t xml:space="preserve">k.ú. </w:t>
      </w:r>
      <w:r w:rsidR="00C405D3" w:rsidRPr="00C405D3">
        <w:rPr>
          <w:rFonts w:ascii="Arial" w:hAnsi="Arial" w:cs="Arial"/>
          <w:sz w:val="24"/>
          <w:szCs w:val="24"/>
          <w:highlight w:val="green"/>
        </w:rPr>
        <w:t>bude doplněno</w:t>
      </w:r>
      <w:r>
        <w:rPr>
          <w:rFonts w:ascii="Arial" w:hAnsi="Arial" w:cs="Arial"/>
          <w:sz w:val="24"/>
          <w:szCs w:val="24"/>
        </w:rPr>
        <w:t>, se všemi součástmi a příslušenstvím, právy a povinnostmi, kupujícímu za kupní cenu uvedenou v článku 3.2 této smlouvy a zavazuje se umožnit kupujícímu nabytí vlastnického práva k předmětu smlouvy.</w:t>
      </w:r>
    </w:p>
    <w:p w:rsidR="0048273F" w:rsidRDefault="00EC401C"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lastRenderedPageBreak/>
        <w:t>2.2</w:t>
      </w:r>
      <w:r>
        <w:rPr>
          <w:rFonts w:ascii="Arial" w:hAnsi="Arial" w:cs="Arial"/>
          <w:sz w:val="24"/>
          <w:szCs w:val="24"/>
        </w:rPr>
        <w:tab/>
        <w:t>Kupující se zavazuje předmět smlouvy převzít a zaplatit prodávajícímu sjednanou kupní cenu.</w:t>
      </w:r>
    </w:p>
    <w:p w:rsidR="0048273F" w:rsidRDefault="00EC401C"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pod č.j.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C405D3" w:rsidRPr="00C405D3">
        <w:rPr>
          <w:rFonts w:ascii="Arial" w:hAnsi="Arial" w:cs="Arial"/>
          <w:sz w:val="24"/>
          <w:szCs w:val="24"/>
          <w:highlight w:val="green"/>
        </w:rPr>
        <w:t>bude doplněno</w:t>
      </w:r>
      <w:r w:rsidRPr="003203EF">
        <w:rPr>
          <w:rFonts w:ascii="Arial" w:hAnsi="Arial" w:cs="Arial"/>
          <w:sz w:val="24"/>
          <w:szCs w:val="24"/>
        </w:rPr>
        <w:t xml:space="preserve"> znalce </w:t>
      </w:r>
      <w:r w:rsidR="00C405D3" w:rsidRPr="00C405D3">
        <w:rPr>
          <w:rFonts w:ascii="Arial" w:hAnsi="Arial" w:cs="Arial"/>
          <w:sz w:val="24"/>
          <w:szCs w:val="24"/>
          <w:highlight w:val="green"/>
        </w:rPr>
        <w:t>bude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ze dne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Pr="00A168D1">
        <w:rPr>
          <w:rFonts w:ascii="Arial" w:hAnsi="Arial" w:cs="Arial"/>
          <w:sz w:val="24"/>
          <w:szCs w:val="24"/>
          <w:highlight w:val="yellow"/>
        </w:rPr>
        <w:t>ne</w:t>
      </w:r>
      <w:r w:rsidR="00AC217A">
        <w:rPr>
          <w:rFonts w:ascii="Arial" w:hAnsi="Arial" w:cs="Arial"/>
          <w:sz w:val="24"/>
          <w:szCs w:val="24"/>
          <w:highlight w:val="yellow"/>
        </w:rPr>
        <w:t>/</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Pr="00E51418">
        <w:rPr>
          <w:rFonts w:ascii="Arial" w:hAnsi="Arial" w:cs="Arial"/>
          <w:sz w:val="24"/>
          <w:szCs w:val="24"/>
        </w:rPr>
        <w:t>,- Kč</w:t>
      </w:r>
      <w:r w:rsidR="005639C5">
        <w:rPr>
          <w:rFonts w:ascii="Arial" w:hAnsi="Arial" w:cs="Arial"/>
          <w:sz w:val="24"/>
          <w:szCs w:val="24"/>
        </w:rPr>
        <w:t xml:space="preserve"> a hodnota trvalých porostů </w:t>
      </w:r>
      <w:r w:rsidR="00C405D3" w:rsidRPr="00C405D3">
        <w:rPr>
          <w:rFonts w:ascii="Arial" w:hAnsi="Arial" w:cs="Arial"/>
          <w:sz w:val="24"/>
          <w:szCs w:val="24"/>
          <w:highlight w:val="green"/>
        </w:rPr>
        <w:t>bude doplněno</w:t>
      </w:r>
      <w:r w:rsidR="00EF47E9">
        <w:rPr>
          <w:rFonts w:ascii="Arial" w:hAnsi="Arial" w:cs="Arial"/>
          <w:sz w:val="24"/>
          <w:szCs w:val="24"/>
        </w:rPr>
        <w:t>,-</w:t>
      </w:r>
      <w:r w:rsidR="005639C5">
        <w:rPr>
          <w:rFonts w:ascii="Arial" w:hAnsi="Arial" w:cs="Arial"/>
          <w:sz w:val="24"/>
          <w:szCs w:val="24"/>
        </w:rPr>
        <w:t xml:space="preserve"> Kč</w:t>
      </w:r>
      <w:r>
        <w:rPr>
          <w:rFonts w:ascii="Arial" w:hAnsi="Arial" w:cs="Arial"/>
          <w:sz w:val="24"/>
          <w:szCs w:val="24"/>
        </w:rPr>
        <w:t xml:space="preserve">. Hodnota předmětu smlouvy činí dle znaleckého posudku </w:t>
      </w:r>
      <w:r w:rsidR="00C405D3" w:rsidRPr="00C405D3">
        <w:rPr>
          <w:rFonts w:ascii="Arial" w:hAnsi="Arial" w:cs="Arial"/>
          <w:sz w:val="24"/>
          <w:szCs w:val="24"/>
          <w:highlight w:val="green"/>
        </w:rPr>
        <w:t>bude doplněno</w:t>
      </w:r>
      <w:r>
        <w:rPr>
          <w:rFonts w:ascii="Arial" w:hAnsi="Arial" w:cs="Arial"/>
          <w:sz w:val="24"/>
          <w:szCs w:val="24"/>
        </w:rPr>
        <w:t>,- Kč.</w:t>
      </w:r>
    </w:p>
    <w:p w:rsidR="002D669F" w:rsidRDefault="00EC401C"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rsidR="002D669F" w:rsidRDefault="00EC401C"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EC401C"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EC401C"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EC401C"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w:t>
      </w:r>
      <w:r>
        <w:rPr>
          <w:rFonts w:ascii="Arial" w:hAnsi="Arial" w:cs="Arial"/>
          <w:sz w:val="24"/>
          <w:szCs w:val="24"/>
        </w:rPr>
        <w:lastRenderedPageBreak/>
        <w:t xml:space="preserve">na vědomí, že kupující bude v takovém případě uplatňovat svá práva podle ust. § 2099 a násl. občanského zákoníku. </w:t>
      </w:r>
    </w:p>
    <w:p w:rsidR="0029149B" w:rsidRDefault="00EC401C"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EC401C"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EC401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EC401C"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ust. § 5 odst. 4 zákona č. 184/2006 Sb.,</w:t>
      </w:r>
      <w:r w:rsidR="00451D44">
        <w:rPr>
          <w:rFonts w:ascii="Arial" w:hAnsi="Arial" w:cs="Arial"/>
          <w:i/>
          <w:sz w:val="24"/>
          <w:szCs w:val="24"/>
          <w:highlight w:val="yellow"/>
        </w:rPr>
        <w:t xml:space="preserve"> </w:t>
      </w:r>
      <w:r w:rsidR="00FA7E8A" w:rsidRPr="0043003C">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EC401C"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lastRenderedPageBreak/>
        <w:t>7.1</w:t>
      </w:r>
      <w:r>
        <w:rPr>
          <w:rFonts w:ascii="Arial" w:hAnsi="Arial" w:cs="Arial"/>
          <w:sz w:val="24"/>
          <w:szCs w:val="24"/>
        </w:rPr>
        <w:tab/>
        <w:t>Kupní smlouva je vyhotovena</w:t>
      </w:r>
      <w:r w:rsidR="0043003C">
        <w:rPr>
          <w:rFonts w:ascii="Arial" w:hAnsi="Arial" w:cs="Arial"/>
          <w:sz w:val="24"/>
          <w:szCs w:val="24"/>
        </w:rPr>
        <w:t xml:space="preserve"> ve</w:t>
      </w:r>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doplněno</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EC401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EC401C" w:rsidP="00072F30">
      <w:pPr>
        <w:tabs>
          <w:tab w:val="left" w:pos="710"/>
        </w:tabs>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7.</w:t>
      </w:r>
      <w:r w:rsidR="005C06EC">
        <w:rPr>
          <w:rFonts w:ascii="Arial" w:hAnsi="Arial" w:cs="Arial"/>
          <w:sz w:val="24"/>
          <w:szCs w:val="24"/>
        </w:rPr>
        <w:t>3</w:t>
      </w:r>
      <w:r>
        <w:rPr>
          <w:rFonts w:ascii="Arial" w:hAnsi="Arial" w:cs="Arial"/>
          <w:sz w:val="24"/>
          <w:szCs w:val="24"/>
        </w:rPr>
        <w:t xml:space="preserve"> </w:t>
      </w:r>
      <w:r>
        <w:rPr>
          <w:rFonts w:ascii="Arial" w:hAnsi="Arial" w:cs="Arial"/>
          <w:sz w:val="24"/>
          <w:szCs w:val="24"/>
        </w:rPr>
        <w:tab/>
      </w:r>
      <w:r w:rsidR="001E525B">
        <w:rPr>
          <w:rFonts w:ascii="Arial" w:hAnsi="Arial" w:cs="Arial"/>
          <w:sz w:val="24"/>
          <w:szCs w:val="24"/>
        </w:rPr>
        <w:t xml:space="preserve">Tato smlouva nabývá platnosti </w:t>
      </w:r>
      <w:r w:rsidR="005C06EC">
        <w:rPr>
          <w:rFonts w:ascii="Arial" w:hAnsi="Arial" w:cs="Arial"/>
          <w:sz w:val="24"/>
          <w:szCs w:val="24"/>
        </w:rPr>
        <w:t xml:space="preserve">a účinnosti </w:t>
      </w:r>
      <w:r w:rsidR="001E525B">
        <w:rPr>
          <w:rFonts w:ascii="Arial" w:hAnsi="Arial" w:cs="Arial"/>
          <w:sz w:val="24"/>
          <w:szCs w:val="24"/>
        </w:rPr>
        <w:t>dnem jejího podpisu oběma smluvními stranami</w:t>
      </w:r>
      <w:r w:rsidR="005C06EC">
        <w:rPr>
          <w:rFonts w:ascii="Arial" w:hAnsi="Arial" w:cs="Arial"/>
          <w:sz w:val="24"/>
          <w:szCs w:val="24"/>
        </w:rPr>
        <w:t>.</w:t>
      </w:r>
      <w:r w:rsidR="001E525B">
        <w:rPr>
          <w:rFonts w:ascii="Arial" w:hAnsi="Arial" w:cs="Arial"/>
          <w:sz w:val="24"/>
          <w:szCs w:val="24"/>
        </w:rPr>
        <w:t xml:space="preserve"> </w:t>
      </w:r>
      <w:r w:rsidR="00F97BDB" w:rsidRPr="00F97BDB">
        <w:rPr>
          <w:rFonts w:ascii="Arial" w:hAnsi="Arial" w:cs="Arial"/>
          <w:sz w:val="24"/>
          <w:szCs w:val="24"/>
        </w:rPr>
        <w:t>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sidR="00451D44" w:rsidRPr="00451D44">
        <w:rPr>
          <w:rFonts w:ascii="Arial" w:hAnsi="Arial" w:cs="Arial"/>
          <w:sz w:val="24"/>
          <w:szCs w:val="24"/>
        </w:rPr>
        <w:t>.</w:t>
      </w:r>
    </w:p>
    <w:p w:rsidR="00072F30" w:rsidRDefault="00EC401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5C06EC">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EC401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C371AE">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EC401C"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C371AE">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EC401C"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C371AE">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Pr="00FA7E8A" w:rsidRDefault="00FA7E8A" w:rsidP="00FA7E8A">
      <w:pPr>
        <w:jc w:val="both"/>
        <w:rPr>
          <w:rFonts w:ascii="Arial" w:hAnsi="Arial" w:cs="Arial"/>
          <w:sz w:val="24"/>
          <w:szCs w:val="24"/>
        </w:rPr>
      </w:pPr>
    </w:p>
    <w:p w:rsidR="00FA7E8A" w:rsidRPr="00EF47E9" w:rsidRDefault="00FA7E8A" w:rsidP="00FA7E8A">
      <w:pPr>
        <w:jc w:val="both"/>
        <w:rPr>
          <w:rFonts w:ascii="Arial" w:hAnsi="Arial" w:cs="Arial"/>
          <w:sz w:val="24"/>
          <w:szCs w:val="24"/>
        </w:rPr>
      </w:pPr>
      <w:r w:rsidRPr="00EF47E9">
        <w:rPr>
          <w:rFonts w:ascii="Arial" w:hAnsi="Arial" w:cs="Arial"/>
          <w:sz w:val="24"/>
          <w:szCs w:val="24"/>
        </w:rPr>
        <w:t>7.9</w:t>
      </w:r>
      <w:r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w:t>
      </w:r>
      <w:r w:rsidRPr="00491B85">
        <w:rPr>
          <w:rFonts w:ascii="Arial" w:hAnsi="Arial" w:cs="Arial"/>
          <w:sz w:val="24"/>
          <w:szCs w:val="24"/>
          <w:highlight w:val="yellow"/>
        </w:rPr>
        <w:t>nabytí pozemků</w:t>
      </w:r>
      <w:r w:rsidRPr="00EF47E9">
        <w:rPr>
          <w:rFonts w:ascii="Arial" w:hAnsi="Arial" w:cs="Arial"/>
          <w:sz w:val="24"/>
          <w:szCs w:val="24"/>
        </w:rPr>
        <w:t xml:space="preserve"> uvedených v čl. I. této smlouvy do vlastnictví Středočeského kraje a </w:t>
      </w:r>
      <w:r w:rsidRPr="00491B85">
        <w:rPr>
          <w:rFonts w:ascii="Arial" w:hAnsi="Arial" w:cs="Arial"/>
          <w:sz w:val="24"/>
          <w:szCs w:val="24"/>
          <w:highlight w:val="yellow"/>
        </w:rPr>
        <w:t>předání těchto</w:t>
      </w:r>
      <w:r w:rsidRPr="00EF47E9">
        <w:rPr>
          <w:rFonts w:ascii="Arial" w:hAnsi="Arial" w:cs="Arial"/>
          <w:sz w:val="24"/>
          <w:szCs w:val="24"/>
        </w:rPr>
        <w:t xml:space="preserve"> pozemků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EC401C"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lastRenderedPageBreak/>
        <w:t>V……………….. dne …………………</w:t>
      </w:r>
      <w:r>
        <w:rPr>
          <w:rFonts w:ascii="Arial" w:hAnsi="Arial" w:cs="Arial"/>
          <w:sz w:val="24"/>
          <w:szCs w:val="24"/>
        </w:rPr>
        <w:tab/>
      </w:r>
      <w:r>
        <w:rPr>
          <w:rFonts w:ascii="Arial" w:hAnsi="Arial" w:cs="Arial"/>
          <w:sz w:val="24"/>
          <w:szCs w:val="24"/>
        </w:rPr>
        <w:tab/>
        <w:t>V Praze dne…………….</w:t>
      </w:r>
    </w:p>
    <w:p w:rsidR="00C97A1F" w:rsidRDefault="00EC401C" w:rsidP="00C97A1F">
      <w:pPr>
        <w:jc w:val="both"/>
        <w:rPr>
          <w:rFonts w:ascii="Arial" w:hAnsi="Arial" w:cs="Arial"/>
          <w:sz w:val="24"/>
          <w:szCs w:val="24"/>
        </w:rPr>
      </w:pPr>
    </w:p>
    <w:p w:rsidR="00C97A1F" w:rsidRDefault="00EC401C"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AB0E43" w:rsidRDefault="00133C67" w:rsidP="00401874">
      <w:pPr>
        <w:tabs>
          <w:tab w:val="left" w:pos="5245"/>
        </w:tabs>
        <w:jc w:val="both"/>
        <w:rPr>
          <w:rFonts w:ascii="Arial" w:hAnsi="Arial" w:cs="Arial"/>
          <w:sz w:val="24"/>
          <w:szCs w:val="24"/>
        </w:rPr>
      </w:pPr>
      <w:r>
        <w:rPr>
          <w:rFonts w:ascii="Arial" w:hAnsi="Arial" w:cs="Arial"/>
          <w:sz w:val="24"/>
          <w:szCs w:val="24"/>
        </w:rPr>
        <w:t xml:space="preserve">     </w:t>
      </w:r>
      <w:r w:rsidR="00C405D3" w:rsidRPr="00C405D3">
        <w:rPr>
          <w:rFonts w:ascii="Arial" w:hAnsi="Arial" w:cs="Arial"/>
          <w:sz w:val="24"/>
          <w:szCs w:val="24"/>
          <w:highlight w:val="green"/>
        </w:rPr>
        <w:t>bude doplněno</w:t>
      </w:r>
      <w:r w:rsidR="00401874">
        <w:rPr>
          <w:rFonts w:ascii="Arial" w:hAnsi="Arial" w:cs="Arial"/>
          <w:sz w:val="24"/>
          <w:szCs w:val="24"/>
        </w:rPr>
        <w:tab/>
      </w:r>
      <w:r w:rsidR="00401874" w:rsidRPr="00AB0E43">
        <w:rPr>
          <w:rFonts w:ascii="Arial" w:hAnsi="Arial" w:cs="Arial"/>
          <w:sz w:val="24"/>
          <w:szCs w:val="24"/>
        </w:rPr>
        <w:t xml:space="preserve">  </w:t>
      </w:r>
      <w:r w:rsidR="00FA7E8A" w:rsidRPr="00AB0E43">
        <w:rPr>
          <w:rFonts w:ascii="Arial" w:hAnsi="Arial" w:cs="Arial"/>
          <w:sz w:val="24"/>
          <w:szCs w:val="24"/>
        </w:rPr>
        <w:t xml:space="preserve">za </w:t>
      </w:r>
      <w:r w:rsidR="00FA7E8A" w:rsidRPr="00AB0E43">
        <w:rPr>
          <w:rFonts w:ascii="Arial" w:hAnsi="Arial" w:cs="Arial"/>
          <w:b/>
          <w:sz w:val="24"/>
          <w:szCs w:val="24"/>
        </w:rPr>
        <w:t>Středočeský kraj</w:t>
      </w:r>
    </w:p>
    <w:p w:rsidR="00FA7E8A" w:rsidRPr="00AB0E43" w:rsidRDefault="00FA7E8A" w:rsidP="00401874">
      <w:pPr>
        <w:tabs>
          <w:tab w:val="left" w:pos="4962"/>
        </w:tabs>
        <w:jc w:val="both"/>
        <w:rPr>
          <w:rFonts w:ascii="Arial" w:hAnsi="Arial" w:cs="Arial"/>
          <w:b/>
          <w:sz w:val="24"/>
          <w:szCs w:val="24"/>
        </w:rPr>
      </w:pPr>
      <w:r w:rsidRPr="00AB0E43">
        <w:rPr>
          <w:rFonts w:ascii="Arial" w:hAnsi="Arial" w:cs="Arial"/>
          <w:sz w:val="24"/>
          <w:szCs w:val="24"/>
        </w:rPr>
        <w:tab/>
      </w:r>
      <w:r w:rsidRPr="00AB0E43">
        <w:rPr>
          <w:rFonts w:ascii="Arial" w:hAnsi="Arial" w:cs="Arial"/>
          <w:b/>
          <w:sz w:val="24"/>
          <w:szCs w:val="24"/>
        </w:rPr>
        <w:t>Krajská správa a údržba silnic</w:t>
      </w:r>
    </w:p>
    <w:p w:rsidR="00FA7E8A" w:rsidRPr="00AB0E43" w:rsidRDefault="00FA7E8A" w:rsidP="00401874">
      <w:pPr>
        <w:tabs>
          <w:tab w:val="left" w:pos="4962"/>
        </w:tabs>
        <w:jc w:val="both"/>
        <w:rPr>
          <w:rFonts w:ascii="Arial" w:hAnsi="Arial" w:cs="Arial"/>
          <w:sz w:val="24"/>
          <w:szCs w:val="24"/>
        </w:rPr>
      </w:pPr>
      <w:r w:rsidRPr="00AB0E43">
        <w:rPr>
          <w:rFonts w:ascii="Arial" w:hAnsi="Arial" w:cs="Arial"/>
          <w:sz w:val="24"/>
          <w:szCs w:val="24"/>
        </w:rPr>
        <w:tab/>
      </w:r>
      <w:r w:rsidR="00401874" w:rsidRPr="00AB0E43">
        <w:rPr>
          <w:rFonts w:ascii="Arial" w:hAnsi="Arial" w:cs="Arial"/>
          <w:sz w:val="24"/>
          <w:szCs w:val="24"/>
        </w:rPr>
        <w:t xml:space="preserve">   </w:t>
      </w:r>
      <w:r w:rsidRPr="00AB0E43">
        <w:rPr>
          <w:rFonts w:ascii="Arial" w:hAnsi="Arial" w:cs="Arial"/>
          <w:b/>
          <w:sz w:val="24"/>
          <w:szCs w:val="24"/>
        </w:rPr>
        <w:t xml:space="preserve">Středočeského kraje, p.o. </w:t>
      </w:r>
    </w:p>
    <w:p w:rsidR="00FA7E8A" w:rsidRPr="00AB0E43" w:rsidRDefault="00401874" w:rsidP="00AB0E43">
      <w:pPr>
        <w:tabs>
          <w:tab w:val="left" w:pos="4820"/>
        </w:tabs>
        <w:jc w:val="both"/>
        <w:rPr>
          <w:rFonts w:ascii="Arial" w:hAnsi="Arial" w:cs="Arial"/>
          <w:sz w:val="24"/>
          <w:szCs w:val="24"/>
        </w:rPr>
      </w:pPr>
      <w:r w:rsidRPr="00AB0E43">
        <w:rPr>
          <w:rFonts w:ascii="Arial" w:hAnsi="Arial" w:cs="Arial"/>
          <w:sz w:val="24"/>
          <w:szCs w:val="24"/>
        </w:rPr>
        <w:tab/>
      </w:r>
      <w:r w:rsidR="00AB0E43">
        <w:rPr>
          <w:rFonts w:ascii="Arial" w:hAnsi="Arial" w:cs="Arial"/>
          <w:sz w:val="24"/>
          <w:szCs w:val="24"/>
        </w:rPr>
        <w:t xml:space="preserve"> </w:t>
      </w:r>
      <w:r w:rsidR="000E6F9F">
        <w:rPr>
          <w:rFonts w:ascii="Arial" w:hAnsi="Arial" w:cs="Arial"/>
          <w:sz w:val="24"/>
          <w:szCs w:val="24"/>
        </w:rPr>
        <w:t>Ing. Aleš Čermák, PhD. MBA, ředitel</w:t>
      </w:r>
      <w:bookmarkStart w:id="0" w:name="_GoBack"/>
      <w:bookmarkEnd w:id="0"/>
    </w:p>
    <w:p w:rsidR="00DA2E45" w:rsidRDefault="00DA2E45" w:rsidP="00DA2E45">
      <w:pPr>
        <w:jc w:val="both"/>
        <w:rPr>
          <w:rFonts w:ascii="Arial" w:hAnsi="Arial" w:cs="Arial"/>
          <w:sz w:val="24"/>
          <w:szCs w:val="24"/>
        </w:rPr>
      </w:pP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401C" w:rsidRDefault="00EC401C">
      <w:r>
        <w:separator/>
      </w:r>
    </w:p>
  </w:endnote>
  <w:endnote w:type="continuationSeparator" w:id="0">
    <w:p w:rsidR="00EC401C" w:rsidRDefault="00EC4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25769E">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25769E">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6A16E9">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401C" w:rsidRDefault="00EC401C">
      <w:r>
        <w:separator/>
      </w:r>
    </w:p>
  </w:footnote>
  <w:footnote w:type="continuationSeparator" w:id="0">
    <w:p w:rsidR="00EC401C" w:rsidRDefault="00EC40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5"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3"/>
  </w:num>
  <w:num w:numId="2">
    <w:abstractNumId w:val="6"/>
  </w:num>
  <w:num w:numId="3">
    <w:abstractNumId w:val="5"/>
  </w:num>
  <w:num w:numId="4">
    <w:abstractNumId w:val="0"/>
  </w:num>
  <w:num w:numId="5">
    <w:abstractNumId w:val="2"/>
  </w:num>
  <w:num w:numId="6">
    <w:abstractNumId w:val="7"/>
  </w:num>
  <w:num w:numId="7">
    <w:abstractNumId w:val="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2"/>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6651"/>
    <w:rsid w:val="000924D8"/>
    <w:rsid w:val="00092C0E"/>
    <w:rsid w:val="00092CCC"/>
    <w:rsid w:val="00097082"/>
    <w:rsid w:val="000A6932"/>
    <w:rsid w:val="000B10C0"/>
    <w:rsid w:val="000B242F"/>
    <w:rsid w:val="000D0527"/>
    <w:rsid w:val="000D6D35"/>
    <w:rsid w:val="000E2D72"/>
    <w:rsid w:val="000E4A69"/>
    <w:rsid w:val="000E5BEB"/>
    <w:rsid w:val="000E6F9F"/>
    <w:rsid w:val="000F1130"/>
    <w:rsid w:val="000F7F02"/>
    <w:rsid w:val="0012341F"/>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2004EF"/>
    <w:rsid w:val="00210110"/>
    <w:rsid w:val="002117B3"/>
    <w:rsid w:val="00216B3C"/>
    <w:rsid w:val="00217357"/>
    <w:rsid w:val="0021739F"/>
    <w:rsid w:val="002339EB"/>
    <w:rsid w:val="00234E17"/>
    <w:rsid w:val="00237D69"/>
    <w:rsid w:val="002416A8"/>
    <w:rsid w:val="0025385D"/>
    <w:rsid w:val="00255334"/>
    <w:rsid w:val="00255D33"/>
    <w:rsid w:val="0025769E"/>
    <w:rsid w:val="00263C14"/>
    <w:rsid w:val="00265C90"/>
    <w:rsid w:val="0026690C"/>
    <w:rsid w:val="002739F6"/>
    <w:rsid w:val="00283B3A"/>
    <w:rsid w:val="0029017A"/>
    <w:rsid w:val="002920C3"/>
    <w:rsid w:val="0029270A"/>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1D44"/>
    <w:rsid w:val="0045432F"/>
    <w:rsid w:val="00455733"/>
    <w:rsid w:val="00456AB2"/>
    <w:rsid w:val="004571B1"/>
    <w:rsid w:val="00457459"/>
    <w:rsid w:val="00463D2E"/>
    <w:rsid w:val="00465EC5"/>
    <w:rsid w:val="00474465"/>
    <w:rsid w:val="00485DCC"/>
    <w:rsid w:val="00491B85"/>
    <w:rsid w:val="00492B23"/>
    <w:rsid w:val="004930A1"/>
    <w:rsid w:val="004A4003"/>
    <w:rsid w:val="004C5E73"/>
    <w:rsid w:val="004F18DB"/>
    <w:rsid w:val="004F525D"/>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C06EC"/>
    <w:rsid w:val="005D0502"/>
    <w:rsid w:val="005D5751"/>
    <w:rsid w:val="005D6565"/>
    <w:rsid w:val="005E310E"/>
    <w:rsid w:val="005F1D31"/>
    <w:rsid w:val="005F2DAD"/>
    <w:rsid w:val="005F448C"/>
    <w:rsid w:val="005F4F68"/>
    <w:rsid w:val="006023A3"/>
    <w:rsid w:val="00605E12"/>
    <w:rsid w:val="00610FDE"/>
    <w:rsid w:val="006120EA"/>
    <w:rsid w:val="00621BA0"/>
    <w:rsid w:val="00621C06"/>
    <w:rsid w:val="00634C53"/>
    <w:rsid w:val="00636E1F"/>
    <w:rsid w:val="00637C63"/>
    <w:rsid w:val="0065586F"/>
    <w:rsid w:val="0065605E"/>
    <w:rsid w:val="00656284"/>
    <w:rsid w:val="006600D7"/>
    <w:rsid w:val="00665E97"/>
    <w:rsid w:val="00671B02"/>
    <w:rsid w:val="0068130B"/>
    <w:rsid w:val="006854B9"/>
    <w:rsid w:val="0069510F"/>
    <w:rsid w:val="006A16E9"/>
    <w:rsid w:val="006C1699"/>
    <w:rsid w:val="006C365E"/>
    <w:rsid w:val="006C7A89"/>
    <w:rsid w:val="006D5CA7"/>
    <w:rsid w:val="006E3480"/>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E7602"/>
    <w:rsid w:val="008F3AB6"/>
    <w:rsid w:val="00905089"/>
    <w:rsid w:val="009179E9"/>
    <w:rsid w:val="0092016C"/>
    <w:rsid w:val="0092304D"/>
    <w:rsid w:val="00924BC0"/>
    <w:rsid w:val="00925B82"/>
    <w:rsid w:val="00933BF5"/>
    <w:rsid w:val="00933CBB"/>
    <w:rsid w:val="00942C2A"/>
    <w:rsid w:val="00957749"/>
    <w:rsid w:val="00960482"/>
    <w:rsid w:val="00961B9D"/>
    <w:rsid w:val="0096240C"/>
    <w:rsid w:val="0096460C"/>
    <w:rsid w:val="00974AF7"/>
    <w:rsid w:val="00985B9D"/>
    <w:rsid w:val="009A58A5"/>
    <w:rsid w:val="009C4E28"/>
    <w:rsid w:val="009C5BF5"/>
    <w:rsid w:val="009C7396"/>
    <w:rsid w:val="009D0513"/>
    <w:rsid w:val="009D0B55"/>
    <w:rsid w:val="009E33EF"/>
    <w:rsid w:val="009E7B6C"/>
    <w:rsid w:val="00A049C0"/>
    <w:rsid w:val="00A10DF3"/>
    <w:rsid w:val="00A11395"/>
    <w:rsid w:val="00A11EBE"/>
    <w:rsid w:val="00A168D1"/>
    <w:rsid w:val="00A20A1E"/>
    <w:rsid w:val="00A20CDC"/>
    <w:rsid w:val="00A2582E"/>
    <w:rsid w:val="00A323AB"/>
    <w:rsid w:val="00A36892"/>
    <w:rsid w:val="00A666ED"/>
    <w:rsid w:val="00A67AC4"/>
    <w:rsid w:val="00A70D61"/>
    <w:rsid w:val="00A73E26"/>
    <w:rsid w:val="00A76806"/>
    <w:rsid w:val="00A81264"/>
    <w:rsid w:val="00A85DC4"/>
    <w:rsid w:val="00A87DB8"/>
    <w:rsid w:val="00AA0D62"/>
    <w:rsid w:val="00AA1608"/>
    <w:rsid w:val="00AB0E43"/>
    <w:rsid w:val="00AB25EC"/>
    <w:rsid w:val="00AC217A"/>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628C2"/>
    <w:rsid w:val="00B64695"/>
    <w:rsid w:val="00B67942"/>
    <w:rsid w:val="00B77AD0"/>
    <w:rsid w:val="00B802CA"/>
    <w:rsid w:val="00B83B74"/>
    <w:rsid w:val="00B83EB3"/>
    <w:rsid w:val="00B87169"/>
    <w:rsid w:val="00B90ADB"/>
    <w:rsid w:val="00BA2D04"/>
    <w:rsid w:val="00BA645D"/>
    <w:rsid w:val="00BD1F2A"/>
    <w:rsid w:val="00BD78F3"/>
    <w:rsid w:val="00BE3139"/>
    <w:rsid w:val="00BE4A94"/>
    <w:rsid w:val="00BE69A6"/>
    <w:rsid w:val="00BF18B1"/>
    <w:rsid w:val="00BF757E"/>
    <w:rsid w:val="00BF7EAB"/>
    <w:rsid w:val="00C05DAF"/>
    <w:rsid w:val="00C12831"/>
    <w:rsid w:val="00C17A62"/>
    <w:rsid w:val="00C24510"/>
    <w:rsid w:val="00C33784"/>
    <w:rsid w:val="00C371AE"/>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124B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777D"/>
    <w:rsid w:val="00D708AE"/>
    <w:rsid w:val="00D72368"/>
    <w:rsid w:val="00D81AA6"/>
    <w:rsid w:val="00D9115D"/>
    <w:rsid w:val="00DA2E45"/>
    <w:rsid w:val="00DB40CE"/>
    <w:rsid w:val="00DC0C73"/>
    <w:rsid w:val="00DC1000"/>
    <w:rsid w:val="00DD26C8"/>
    <w:rsid w:val="00DD636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3037"/>
    <w:rsid w:val="00EC401C"/>
    <w:rsid w:val="00EC6415"/>
    <w:rsid w:val="00EF47E9"/>
    <w:rsid w:val="00EF48A4"/>
    <w:rsid w:val="00F0547A"/>
    <w:rsid w:val="00F0691D"/>
    <w:rsid w:val="00F0725B"/>
    <w:rsid w:val="00F145A3"/>
    <w:rsid w:val="00F15086"/>
    <w:rsid w:val="00F16D5D"/>
    <w:rsid w:val="00F172B1"/>
    <w:rsid w:val="00F176B5"/>
    <w:rsid w:val="00F20AA4"/>
    <w:rsid w:val="00F20B14"/>
    <w:rsid w:val="00F33AA8"/>
    <w:rsid w:val="00F34792"/>
    <w:rsid w:val="00F3732D"/>
    <w:rsid w:val="00F40FA4"/>
    <w:rsid w:val="00F462E5"/>
    <w:rsid w:val="00F46FD3"/>
    <w:rsid w:val="00F51223"/>
    <w:rsid w:val="00F52FD7"/>
    <w:rsid w:val="00F97BDB"/>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43BB14-DC93-44FE-9317-F59F1D5A9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1519</Words>
  <Characters>8963</Characters>
  <Application>Microsoft Office Word</Application>
  <DocSecurity>0</DocSecurity>
  <Lines>74</Lines>
  <Paragraphs>20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10462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2022-06-05T12:04:00Z</dcterms:created>
  <dcterms:modified xsi:type="dcterms:W3CDTF">2022-07-19T07:36:00Z</dcterms:modified>
</cp:coreProperties>
</file>