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6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760" w:line="259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4"/>
          <w:szCs w:val="34"/>
          <w:u w:val="none"/>
          <w:shd w:fill="auto" w:val="clear"/>
          <w:vertAlign w:val="baseline"/>
          <w:rtl w:val="0"/>
        </w:rPr>
        <w:t xml:space="preserve">Protokol o stanovení vnějších vlivů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IDENTIFIKACE STAVBY - VŠEOBECNÉ ÚDAJE ..................................................................................................................... 2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URČENÍ VNĚJŠÍCH VLIVŮ VE SMYSLU ČSN 332000-5-51 ED.3 .......................................................................................... .2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2.1. 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  <w:rtl w:val="0"/>
        </w:rPr>
        <w:t xml:space="preserve">LOŽENÍ ODBORNÉ KOMISE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: …............................................................................................................................................. 2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2.2. 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  <w:rtl w:val="0"/>
        </w:rPr>
        <w:t xml:space="preserve">OPIS OBJEKTU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: ............................................................................................................................................................... 3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        2.3. 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  <w:rtl w:val="0"/>
        </w:rPr>
        <w:t xml:space="preserve">ODKLADY PRO ZPRACOVÁNÍ PROTOKOLU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: ...........................................................................................................................  3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 ROZHODNUTÍ: .....................................................................................................................................................................3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3.1. Z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  <w:rtl w:val="0"/>
        </w:rPr>
        <w:t xml:space="preserve">ÁVAZNOST DOKUMENTU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: ................................................................................................................................................. 3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3.2. 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  <w:rtl w:val="0"/>
        </w:rPr>
        <w:t xml:space="preserve">LOŽENÍ DOKUMENTU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: ...................................................................................................................................................... 4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3.3. 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  <w:rtl w:val="0"/>
        </w:rPr>
        <w:t xml:space="preserve">RČENÍ VNĚJŠÍCH VLIVŮ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: .................................................................................................................................................... 5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3.3.1. Normální prostory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3.3.1.1. Jednoznačně definované: ...................................................................................................................................... 5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3.3.1.2. Za určitých podmínek: ...........................................................................................................................................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line="259" w:lineRule="auto"/>
        <w:ind w:left="352" w:hanging="314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Identifikace stavby - všeobecné údaje</w:t>
      </w:r>
      <w:r w:rsidDel="00000000" w:rsidR="00000000" w:rsidRPr="00000000">
        <w:rPr>
          <w:rtl w:val="0"/>
        </w:rPr>
      </w:r>
    </w:p>
    <w:tbl>
      <w:tblPr>
        <w:tblStyle w:val="Table1"/>
        <w:tblW w:w="9660.0" w:type="dxa"/>
        <w:jc w:val="left"/>
        <w:tblInd w:w="257.0" w:type="dxa"/>
        <w:tblLayout w:type="fixed"/>
        <w:tblLook w:val="0400"/>
      </w:tblPr>
      <w:tblGrid>
        <w:gridCol w:w="1997"/>
        <w:gridCol w:w="7663"/>
        <w:tblGridChange w:id="0">
          <w:tblGrid>
            <w:gridCol w:w="1997"/>
            <w:gridCol w:w="7663"/>
          </w:tblGrid>
        </w:tblGridChange>
      </w:tblGrid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4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Název stavby: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STAVEBNÍ ÚPRAVY OBJEKTU DÍLEN </w:t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Investor: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SLŠ a SOU Křivoklát 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Místo stavby: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Křivoklát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Charakter stavby: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Oprava, rekonstrukce 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Obec / Kat. území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Křivoklát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Pozemek: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Parc.č.st. 569 a parc.č. 423/2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Kraj: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Středočeský</w:t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Okres: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Rakovník</w:t>
            </w:r>
          </w:p>
        </w:tc>
      </w:tr>
    </w:tbl>
    <w:p w:rsidR="00000000" w:rsidDel="00000000" w:rsidP="00000000" w:rsidRDefault="00000000" w:rsidRPr="00000000" w14:paraId="00000024">
      <w:pPr>
        <w:spacing w:after="0" w:line="259" w:lineRule="auto"/>
        <w:ind w:left="267" w:firstLine="0"/>
        <w:jc w:val="left"/>
        <w:rPr/>
      </w:pPr>
      <w:r w:rsidDel="00000000" w:rsidR="00000000" w:rsidRPr="00000000">
        <w:rPr>
          <w:sz w:val="2"/>
          <w:szCs w:val="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" w:line="258" w:lineRule="auto"/>
        <w:ind w:left="267" w:firstLine="0"/>
        <w:jc w:val="left"/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" w:line="258" w:lineRule="auto"/>
        <w:ind w:left="0" w:firstLine="0"/>
        <w:jc w:val="left"/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" w:line="258" w:lineRule="auto"/>
        <w:jc w:val="left"/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802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line="259" w:lineRule="auto"/>
        <w:ind w:left="352" w:hanging="314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Určení vnějších vlivů ve smyslu ČSN 332000-5-51 ed.3.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spacing w:after="0" w:line="259" w:lineRule="auto"/>
        <w:ind w:left="1469" w:hanging="711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Složení odborné komise: </w:t>
      </w:r>
      <w:r w:rsidDel="00000000" w:rsidR="00000000" w:rsidRPr="00000000">
        <w:rPr>
          <w:rtl w:val="0"/>
        </w:rPr>
      </w:r>
    </w:p>
    <w:tbl>
      <w:tblPr>
        <w:tblStyle w:val="Table2"/>
        <w:tblW w:w="7255.0" w:type="dxa"/>
        <w:jc w:val="left"/>
        <w:tblInd w:w="-10.0" w:type="dxa"/>
        <w:tblLayout w:type="fixed"/>
        <w:tblLook w:val="0400"/>
      </w:tblPr>
      <w:tblGrid>
        <w:gridCol w:w="1004"/>
        <w:gridCol w:w="3404"/>
        <w:gridCol w:w="2847"/>
        <w:tblGridChange w:id="0">
          <w:tblGrid>
            <w:gridCol w:w="1004"/>
            <w:gridCol w:w="3404"/>
            <w:gridCol w:w="2847"/>
          </w:tblGrid>
        </w:tblGridChange>
      </w:tblGrid>
      <w:tr>
        <w:trPr>
          <w:cantSplit w:val="0"/>
          <w:trHeight w:val="3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funkce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Profese, specialista řešení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jméno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předseda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59" w:lineRule="auto"/>
              <w:ind w:lef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Zařízení silnoproudé elektroniky</w:t>
            </w:r>
          </w:p>
          <w:p w:rsidR="00000000" w:rsidDel="00000000" w:rsidP="00000000" w:rsidRDefault="00000000" w:rsidRPr="00000000" w14:paraId="00000031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(projektant elektro)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Marek Kundrat</w:t>
            </w:r>
          </w:p>
        </w:tc>
      </w:tr>
      <w:tr>
        <w:trPr>
          <w:cantSplit w:val="0"/>
          <w:trHeight w:val="7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člen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Revizní technik elektro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Petr Tintěra</w:t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člen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Požárně bezpečnostní řešení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xxxxxxxxxxxxxxxxxxxxxxxxxxx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člen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Zdravotnická technologie (projektant technologie)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xxxxxxxxxxxxxxxxxxxxxxx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člen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Stavební inženýr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Ing. Lubomír Tichý</w:t>
            </w:r>
          </w:p>
        </w:tc>
      </w:tr>
      <w:tr>
        <w:trPr>
          <w:cantSplit w:val="0"/>
          <w:trHeight w:val="7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člen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Zařízení sdělovacích rozvodů (SLP)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xxxxxxxxxxxxxxxxxxxxxx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7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člen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Zařízení vzduchotechniky (projektant VZT a chlazení)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xxxxxxxxxxxxxxxxxx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7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člen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Zařízení pro vytápění staveb (projektant UT)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xxxxxxxxxxxxxxxxxxxxxxx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člen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Zařízení zdravotně technických instalací (projektant ZT)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xxxxxxxxxxxxxxxxxxxxxxxxx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B">
      <w:pPr>
        <w:spacing w:after="0" w:line="259" w:lineRule="auto"/>
        <w:ind w:left="0" w:firstLine="0"/>
        <w:jc w:val="left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4C">
      <w:pPr>
        <w:spacing w:after="667" w:line="259" w:lineRule="auto"/>
        <w:ind w:left="0" w:firstLine="0"/>
        <w:jc w:val="left"/>
        <w:rPr>
          <w:sz w:val="2"/>
          <w:szCs w:val="2"/>
        </w:rPr>
      </w:pPr>
      <w:r w:rsidDel="00000000" w:rsidR="00000000" w:rsidRPr="00000000">
        <w:rPr>
          <w:sz w:val="2"/>
          <w:szCs w:val="2"/>
          <w:rtl w:val="0"/>
        </w:rPr>
        <w:t xml:space="preserve"> </w:t>
      </w:r>
    </w:p>
    <w:p w:rsidR="00000000" w:rsidDel="00000000" w:rsidP="00000000" w:rsidRDefault="00000000" w:rsidRPr="00000000" w14:paraId="0000004D">
      <w:pPr>
        <w:spacing w:after="667" w:line="259" w:lineRule="auto"/>
        <w:ind w:left="0" w:firstLine="0"/>
        <w:jc w:val="left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667" w:line="259" w:lineRule="auto"/>
        <w:ind w:left="0" w:firstLine="0"/>
        <w:jc w:val="left"/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1"/>
          <w:numId w:val="2"/>
        </w:numPr>
        <w:spacing w:after="59" w:line="259" w:lineRule="auto"/>
        <w:ind w:left="1469" w:hanging="711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Popis objektu: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4" w:line="253" w:lineRule="auto"/>
        <w:ind w:left="31" w:right="71" w:firstLine="730"/>
        <w:jc w:val="left"/>
        <w:rPr/>
      </w:pPr>
      <w:r w:rsidDel="00000000" w:rsidR="00000000" w:rsidRPr="00000000">
        <w:rPr>
          <w:rtl w:val="0"/>
        </w:rPr>
        <w:t xml:space="preserve">Předložená dokumentace řeší stavební úpravy dílen Střední lesnické školy a Středního odborného učiliště Písky 181, Křivoklát. Objekt se nachází v lesnickém komplexu. Jedná se o krajskou vzdělávací instituci s obory jako Lesnictví, Veterinářství, Lesní mechanizátor, Opravář lesních strojů a Truhlář. Díky neustálému zájmu o tyto obory, chce škola žákům nabídnout novou škálu moderních technologií. Během rekonstrukce dojde také k odstranění staré kabeláže, vzniknou nové kabelové trasy, nová připojení pro jednotlivá zařízení, nové rozváděče, osvětlení aj. Veškeré typy materiálů a konstrukčních prvků jsou ve stavební dokumentaci.</w:t>
      </w:r>
    </w:p>
    <w:p w:rsidR="00000000" w:rsidDel="00000000" w:rsidP="00000000" w:rsidRDefault="00000000" w:rsidRPr="00000000" w14:paraId="00000051">
      <w:pPr>
        <w:spacing w:after="884" w:line="259" w:lineRule="auto"/>
        <w:ind w:left="2" w:firstLine="0"/>
        <w:jc w:val="left"/>
        <w:rPr/>
      </w:pPr>
      <w:r w:rsidDel="00000000" w:rsidR="00000000" w:rsidRPr="00000000">
        <w:rPr>
          <w:rtl w:val="0"/>
        </w:rPr>
        <w:t xml:space="preserve"> </w:t>
        <w:tab/>
        <w:t xml:space="preserve">Protokol vnějších vlivů je zpracován v rozsahu znalostí stavby a provozu v rozsahu dokumentace pro stavební povolení. </w:t>
      </w:r>
    </w:p>
    <w:p w:rsidR="00000000" w:rsidDel="00000000" w:rsidP="00000000" w:rsidRDefault="00000000" w:rsidRPr="00000000" w14:paraId="00000052">
      <w:pPr>
        <w:ind w:left="1154" w:hanging="112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2.3. Podklady pro zpracování protokolu:</w:t>
      </w:r>
    </w:p>
    <w:p w:rsidR="00000000" w:rsidDel="00000000" w:rsidP="00000000" w:rsidRDefault="00000000" w:rsidRPr="00000000" w14:paraId="00000053">
      <w:pPr>
        <w:ind w:left="1154" w:hanging="1121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  <w:t xml:space="preserve">Požadavky investora a provozovatele, který obecně definoval požadavky na rozsah rekonstrukce.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1095" w:right="0" w:hanging="109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Očekávaný provoz a využití objektu.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0" w:lineRule="auto"/>
        <w:ind w:left="1095" w:right="0" w:hanging="109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Technické listy a parametry definované možnými výrobci.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6" w:before="0" w:line="270" w:lineRule="auto"/>
        <w:ind w:left="1095" w:right="0" w:hanging="1095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Stavební dokumentace</w:t>
      </w:r>
    </w:p>
    <w:p w:rsidR="00000000" w:rsidDel="00000000" w:rsidP="00000000" w:rsidRDefault="00000000" w:rsidRPr="00000000" w14:paraId="00000057">
      <w:pPr>
        <w:spacing w:after="414" w:lineRule="auto"/>
        <w:ind w:left="387" w:firstLine="69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59" w:line="259" w:lineRule="auto"/>
        <w:ind w:left="48" w:firstLine="0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3. Rozhodnutí: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43" w:firstLine="0"/>
        <w:rPr/>
      </w:pPr>
      <w:r w:rsidDel="00000000" w:rsidR="00000000" w:rsidRPr="00000000">
        <w:rPr>
          <w:rtl w:val="0"/>
        </w:rPr>
        <w:t xml:space="preserve">Vnější vlivy jsou stanoveny dle ČSN 332000-5-51 ed.3. </w:t>
      </w:r>
    </w:p>
    <w:p w:rsidR="00000000" w:rsidDel="00000000" w:rsidP="00000000" w:rsidRDefault="00000000" w:rsidRPr="00000000" w14:paraId="0000005A">
      <w:pPr>
        <w:ind w:left="43" w:firstLine="665"/>
        <w:rPr/>
      </w:pPr>
      <w:r w:rsidDel="00000000" w:rsidR="00000000" w:rsidRPr="00000000">
        <w:rPr>
          <w:rtl w:val="0"/>
        </w:rPr>
        <w:t xml:space="preserve">Protokol je zpracován na základě podkladů a informací, známých ke dni zpracování dokumentu. V případě, že v průběhu realizace díla, případě následného provozování dojde ke změně charakteru využívání, musí uživatel zajistit zpracování „AKTUALIZOVANÉHO PROTOKOLU“. </w:t>
      </w:r>
    </w:p>
    <w:p w:rsidR="00000000" w:rsidDel="00000000" w:rsidP="00000000" w:rsidRDefault="00000000" w:rsidRPr="00000000" w14:paraId="0000005B">
      <w:pPr>
        <w:ind w:left="43" w:firstLine="665"/>
        <w:rPr/>
      </w:pPr>
      <w:r w:rsidDel="00000000" w:rsidR="00000000" w:rsidRPr="00000000">
        <w:rPr>
          <w:rtl w:val="0"/>
        </w:rPr>
        <w:t xml:space="preserve">Závaznost rozhodnutí je definována tímto protokolem. </w:t>
      </w:r>
      <w:r w:rsidDel="00000000" w:rsidR="00000000" w:rsidRPr="00000000">
        <w:rPr>
          <w:b w:val="1"/>
          <w:rtl w:val="0"/>
        </w:rPr>
        <w:t xml:space="preserve">Protokol musí být archivován později po dobu životnosti zařízení, či provozu objektu. </w:t>
      </w:r>
      <w:r w:rsidDel="00000000" w:rsidR="00000000" w:rsidRPr="00000000">
        <w:rPr>
          <w:rtl w:val="0"/>
        </w:rPr>
        <w:t xml:space="preserve">Aktualizovaný protokol, pokud dozná řešení změny při stavbě před výchozí revizí, musí být aktualizován. Protokol musí být předkládán při provádění výchozích i následných revizích elektrického a technologického zařízení. </w:t>
      </w:r>
    </w:p>
    <w:p w:rsidR="00000000" w:rsidDel="00000000" w:rsidP="00000000" w:rsidRDefault="00000000" w:rsidRPr="00000000" w14:paraId="0000005C">
      <w:pPr>
        <w:spacing w:after="11" w:lineRule="auto"/>
        <w:ind w:left="43" w:firstLine="665"/>
        <w:rPr/>
      </w:pPr>
      <w:r w:rsidDel="00000000" w:rsidR="00000000" w:rsidRPr="00000000">
        <w:rPr>
          <w:rtl w:val="0"/>
        </w:rPr>
        <w:t xml:space="preserve">Protokolem stanovené vnější vlivy vychází z běžného očekávaného provozu. Pro provoz objektu uživatel zajistí vypracování provozních předpisů a zajistí, aby s těmito předpisy byli prokazatelně seznámeni pracovníci, kteří je využívají v předpisech, bude mimo jiné stanovena povinnost provádět pravidelný úklid a údržbu zařízení tak, aby nedošlo k negativnímu ovlivnění charakteru místnosti resp. </w:t>
      </w:r>
    </w:p>
    <w:p w:rsidR="00000000" w:rsidDel="00000000" w:rsidP="00000000" w:rsidRDefault="00000000" w:rsidRPr="00000000" w14:paraId="0000005D">
      <w:pPr>
        <w:spacing w:after="11" w:lineRule="auto"/>
        <w:ind w:left="43" w:firstLine="0"/>
        <w:rPr/>
      </w:pPr>
      <w:r w:rsidDel="00000000" w:rsidR="00000000" w:rsidRPr="00000000">
        <w:rPr>
          <w:rtl w:val="0"/>
        </w:rPr>
        <w:t xml:space="preserve">provozu v nich. </w:t>
      </w:r>
    </w:p>
    <w:p w:rsidR="00000000" w:rsidDel="00000000" w:rsidP="00000000" w:rsidRDefault="00000000" w:rsidRPr="00000000" w14:paraId="0000005E">
      <w:pPr>
        <w:spacing w:after="11" w:lineRule="auto"/>
        <w:ind w:left="4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1"/>
          <w:numId w:val="1"/>
        </w:numPr>
        <w:spacing w:after="89" w:line="259" w:lineRule="auto"/>
        <w:ind w:left="739" w:hanging="706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Závaznost dokumentu: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152" w:lineRule="auto"/>
        <w:ind w:left="43" w:firstLine="0"/>
        <w:rPr/>
      </w:pPr>
      <w:r w:rsidDel="00000000" w:rsidR="00000000" w:rsidRPr="00000000">
        <w:rPr>
          <w:rtl w:val="0"/>
        </w:rPr>
        <w:t xml:space="preserve">Technické parametry, které definuje tento protokol, jsou závazné pro všechny profese techniky prostředí stavby, i pro vlastní stavbu (musí být dodržena požární odolnost konstrukcí a výplní). Po dokončení a předání stavby pro užívání přejímá zodpovědnost za dodržování vlivů provozovatel instituce.</w:t>
      </w:r>
    </w:p>
    <w:p w:rsidR="00000000" w:rsidDel="00000000" w:rsidP="00000000" w:rsidRDefault="00000000" w:rsidRPr="00000000" w14:paraId="00000061">
      <w:pPr>
        <w:spacing w:after="152" w:lineRule="auto"/>
        <w:ind w:left="4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152" w:lineRule="auto"/>
        <w:ind w:left="4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152" w:lineRule="auto"/>
        <w:ind w:left="4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152" w:lineRule="auto"/>
        <w:ind w:left="4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1"/>
          <w:numId w:val="1"/>
        </w:numPr>
        <w:spacing w:after="42" w:line="259" w:lineRule="auto"/>
        <w:ind w:left="739" w:hanging="706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Uložení dokumentu: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43" w:firstLine="0"/>
        <w:rPr/>
      </w:pPr>
      <w:r w:rsidDel="00000000" w:rsidR="00000000" w:rsidRPr="00000000">
        <w:rPr>
          <w:rtl w:val="0"/>
        </w:rPr>
        <w:t xml:space="preserve">V době projektování a realizaci stavby bude originál uložen v dokladové části projektu. Fotokopii dostanou k nahlédnutí projektanti a později vybraný dodavatel stavby a jeho subdodavatelé PSV. Protokol musí být předložen reviznímu technikovi elektro před zpracováním výchozí revize.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52" w:lineRule="auto"/>
        <w:ind w:left="4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152" w:lineRule="auto"/>
        <w:ind w:left="4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  <w:sectPr>
          <w:footerReference r:id="rId6" w:type="default"/>
          <w:footerReference r:id="rId7" w:type="first"/>
          <w:footerReference r:id="rId8" w:type="even"/>
          <w:pgSz w:h="16841" w:w="11899" w:orient="portrait"/>
          <w:pgMar w:bottom="1678" w:top="0" w:left="1104" w:right="518" w:header="708" w:footer="3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156" w:line="259" w:lineRule="auto"/>
        <w:ind w:left="43" w:firstLine="0"/>
        <w:jc w:val="left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156" w:line="259" w:lineRule="auto"/>
        <w:ind w:left="43" w:firstLine="0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3.3. Určení vnějších vlivů: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91" w:line="259" w:lineRule="auto"/>
        <w:jc w:val="left"/>
        <w:rPr/>
      </w:pPr>
      <w:r w:rsidDel="00000000" w:rsidR="00000000" w:rsidRPr="00000000">
        <w:rPr>
          <w:b w:val="1"/>
          <w:rtl w:val="0"/>
        </w:rPr>
        <w:t xml:space="preserve">3.3.1.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Normální prostory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43" w:right="529" w:firstLine="0"/>
        <w:rPr/>
      </w:pPr>
      <w:r w:rsidDel="00000000" w:rsidR="00000000" w:rsidRPr="00000000">
        <w:rPr>
          <w:rtl w:val="0"/>
        </w:rPr>
        <w:t xml:space="preserve">Prostory, které lze označit podle ČSN 33 2000-5-51 jako NORMÁLNÍ - BEZ VÝZNAMNÉHO NEBEZPEČÍ podle přílohy dříve závazné ČSN 33 2000-3, jsou to takové prostory, v nichž používání elektrického zařízení je považováno za bezpečné, protože působením vnějších vlivů nedochází ke zvýšení nebezpečí elektrického úrazu, pokud elektrická zařízení a jejich používání odpovídají ustanovením, která se jich týkají. </w:t>
      </w:r>
    </w:p>
    <w:p w:rsidR="00000000" w:rsidDel="00000000" w:rsidP="00000000" w:rsidRDefault="00000000" w:rsidRPr="00000000" w14:paraId="0000006F">
      <w:pPr>
        <w:spacing w:after="48" w:line="259" w:lineRule="auto"/>
        <w:ind w:left="2475" w:firstLine="0"/>
        <w:jc w:val="left"/>
        <w:rPr/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3.3.1.1.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Jednoznačně definované: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43" w:right="384" w:firstLine="0"/>
        <w:rPr/>
      </w:pPr>
      <w:r w:rsidDel="00000000" w:rsidR="00000000" w:rsidRPr="00000000">
        <w:rPr>
          <w:rtl w:val="0"/>
        </w:rPr>
        <w:t xml:space="preserve">AA1,AA2,AA4,AA5,AA8,AB5,AC1,AC2,AD1,AE1,AF1,AG1,AH1,AK1,AL1,AM1,AN1,AN2,AN3,A P1, AR1 ,AR2,AR3, AS 1 ,B A1 ,BC 1 ,BC2,BE1 ,BE3 ,BE4 </w:t>
      </w:r>
    </w:p>
    <w:p w:rsidR="00000000" w:rsidDel="00000000" w:rsidP="00000000" w:rsidRDefault="00000000" w:rsidRPr="00000000" w14:paraId="00000071">
      <w:pPr>
        <w:spacing w:after="48" w:line="259" w:lineRule="auto"/>
        <w:ind w:left="2475" w:firstLine="0"/>
        <w:jc w:val="left"/>
        <w:rPr/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3.3.1.2.</w:t>
      </w:r>
      <w:r w:rsidDel="00000000" w:rsidR="00000000" w:rsidRPr="00000000">
        <w:rPr>
          <w:rFonts w:ascii="Arial" w:cs="Arial" w:eastAsia="Arial" w:hAnsi="Arial"/>
          <w:b w:val="1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Za určitých podmínek: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369" w:lineRule="auto"/>
        <w:ind w:left="43" w:firstLine="0"/>
        <w:rPr/>
      </w:pPr>
      <w:r w:rsidDel="00000000" w:rsidR="00000000" w:rsidRPr="00000000">
        <w:rPr>
          <w:rtl w:val="0"/>
        </w:rPr>
        <w:t xml:space="preserve">AA3, AA4, AE4, AE5, AE6, AM4, AQ1 ,BE2,BE2N 1 ,BE2N2,BE3N 1 ,BE3N2,BE3N3,C A2,CB2, </w:t>
      </w:r>
    </w:p>
    <w:p w:rsidR="00000000" w:rsidDel="00000000" w:rsidP="00000000" w:rsidRDefault="00000000" w:rsidRPr="00000000" w14:paraId="00000073">
      <w:pPr>
        <w:spacing w:after="0" w:lineRule="auto"/>
        <w:ind w:left="43" w:right="811" w:firstLine="0"/>
        <w:rPr/>
      </w:pPr>
      <w:r w:rsidDel="00000000" w:rsidR="00000000" w:rsidRPr="00000000">
        <w:rPr>
          <w:rtl w:val="0"/>
        </w:rPr>
        <w:t xml:space="preserve">Pro všechny vnitřní prostory platí vnější vlivy ve smyslu ČSN 332000-5-51 ed.3 dle následující tabulky: </w:t>
      </w:r>
    </w:p>
    <w:tbl>
      <w:tblPr>
        <w:tblStyle w:val="Table3"/>
        <w:tblW w:w="9233.0" w:type="dxa"/>
        <w:jc w:val="left"/>
        <w:tblInd w:w="-10.0" w:type="dxa"/>
        <w:tblLayout w:type="fixed"/>
        <w:tblLook w:val="0400"/>
      </w:tblPr>
      <w:tblGrid>
        <w:gridCol w:w="5180"/>
        <w:gridCol w:w="1776"/>
        <w:gridCol w:w="2277"/>
        <w:tblGridChange w:id="0">
          <w:tblGrid>
            <w:gridCol w:w="5180"/>
            <w:gridCol w:w="1776"/>
            <w:gridCol w:w="2277"/>
          </w:tblGrid>
        </w:tblGridChange>
      </w:tblGrid>
      <w:tr>
        <w:trPr>
          <w:cantSplit w:val="0"/>
          <w:trHeight w:val="3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Charakteristika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označení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Poznámka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teplota okolí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AA5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Vlhkost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AB5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pokud není uvedeno jinak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nadmořská výška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AC1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výskyt vody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AD1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pokud není uvedeno jinak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výskyt cizích pevných těles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AE2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výskyt korozivních nebo znečišťujících látek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AF3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mechanická namáhání - rázy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AG1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mechanická namáhání - vibrace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AH2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výskyt rostlinstva nebo plísní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AK1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výskyt živočichů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AL1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elektromagnetická, elektrostatická nebo ionizující působení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AM1</w:t>
            </w:r>
            <w:r w:rsidDel="00000000" w:rsidR="00000000" w:rsidRPr="00000000">
              <w:rPr>
                <w:rtl w:val="0"/>
              </w:rPr>
              <w:t xml:space="preserve"> -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sluneční záření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ANI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seismické účinky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API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bouřková činnost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AQ1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pohyb vzduchu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AR1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Vítr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schopnost osob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pokud není uvedeno jinak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dotyk s potenciálem země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BC2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pokud není uvedeno jinak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povaha zpracovaných nebo skladovaných látek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BE2N1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podmínky úniku v případě nebezpečí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BDI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stavební materiály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CA1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konstrukce budovy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CB1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="259" w:lineRule="auto"/>
              <w:ind w:left="0" w:firstLine="0"/>
              <w:jc w:val="left"/>
              <w:rPr/>
            </w:pPr>
            <w:r w:rsidDel="00000000" w:rsidR="00000000" w:rsidRPr="00000000">
              <w:rPr>
                <w:sz w:val="10"/>
                <w:szCs w:val="1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spacing w:after="0" w:line="259" w:lineRule="auto"/>
        <w:ind w:left="0" w:firstLine="0"/>
        <w:jc w:val="left"/>
        <w:rPr/>
      </w:pPr>
      <w:r w:rsidDel="00000000" w:rsidR="00000000" w:rsidRPr="00000000">
        <w:rPr>
          <w:sz w:val="2"/>
          <w:szCs w:val="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564" w:line="259" w:lineRule="auto"/>
        <w:ind w:left="0" w:firstLine="0"/>
        <w:jc w:val="left"/>
        <w:rPr/>
      </w:pPr>
      <w:r w:rsidDel="00000000" w:rsidR="00000000" w:rsidRPr="00000000">
        <w:rPr>
          <w:sz w:val="2"/>
          <w:szCs w:val="2"/>
          <w:rtl w:val="0"/>
        </w:rPr>
        <w:t xml:space="preserve"> </w:t>
      </w:r>
      <w:r w:rsidDel="00000000" w:rsidR="00000000" w:rsidRPr="00000000">
        <w:rPr>
          <w:rtl w:val="0"/>
        </w:rPr>
        <w:t xml:space="preserve">Poz: </w:t>
      </w:r>
    </w:p>
    <w:p w:rsidR="00000000" w:rsidDel="00000000" w:rsidP="00000000" w:rsidRDefault="00000000" w:rsidRPr="00000000" w14:paraId="000000BB">
      <w:pPr>
        <w:spacing w:after="564" w:line="259" w:lineRule="auto"/>
        <w:ind w:left="0" w:firstLine="0"/>
        <w:jc w:val="left"/>
        <w:rPr>
          <w:b w:val="1"/>
        </w:rPr>
      </w:pPr>
      <w:r w:rsidDel="00000000" w:rsidR="00000000" w:rsidRPr="00000000">
        <w:rPr>
          <w:b w:val="1"/>
          <w:i w:val="1"/>
          <w:rtl w:val="0"/>
        </w:rPr>
        <w:t xml:space="preserve">Instalace v umývárnách, sprchách, umývadla, dřezy - viz• ČSN 332130 ed2 ( umývací prostory).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BC">
      <w:pPr>
        <w:spacing w:after="564" w:line="259" w:lineRule="auto"/>
        <w:ind w:left="0" w:firstLine="0"/>
        <w:jc w:val="left"/>
        <w:rPr/>
      </w:pPr>
      <w:r w:rsidDel="00000000" w:rsidR="00000000" w:rsidRPr="00000000">
        <w:rPr>
          <w:b w:val="1"/>
          <w:rtl w:val="0"/>
        </w:rPr>
        <w:t xml:space="preserve">Podpisy předsedy a členů komise:</w:t>
      </w:r>
      <w:r w:rsidDel="00000000" w:rsidR="00000000" w:rsidRPr="00000000">
        <w:rPr>
          <w:rtl w:val="0"/>
        </w:rPr>
      </w:r>
    </w:p>
    <w:sectPr>
      <w:footerReference r:id="rId9" w:type="default"/>
      <w:footerReference r:id="rId10" w:type="first"/>
      <w:footerReference r:id="rId11" w:type="even"/>
      <w:type w:val="nextPage"/>
      <w:pgSz w:h="16841" w:w="11899" w:orient="portrait"/>
      <w:pgMar w:bottom="3" w:top="0" w:left="1058" w:right="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E">
    <w:pPr>
      <w:spacing w:after="0" w:line="259" w:lineRule="auto"/>
      <w:ind w:left="0" w:firstLine="0"/>
      <w:jc w:val="left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spacing w:after="0" w:line="259" w:lineRule="auto"/>
      <w:ind w:left="5" w:firstLine="0"/>
      <w:jc w:val="left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0">
    <w:pPr>
      <w:spacing w:after="160" w:line="259" w:lineRule="auto"/>
      <w:ind w:left="0" w:firstLine="0"/>
      <w:jc w:val="left"/>
      <w:rPr/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1">
    <w:pPr>
      <w:spacing w:after="369" w:line="259" w:lineRule="auto"/>
      <w:ind w:left="0" w:right="3" w:firstLine="0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2">
    <w:pPr>
      <w:spacing w:after="0" w:line="259" w:lineRule="auto"/>
      <w:ind w:left="5" w:firstLine="0"/>
      <w:jc w:val="left"/>
      <w:rPr/>
    </w:pPr>
    <w:r w:rsidDel="00000000" w:rsidR="00000000" w:rsidRPr="00000000">
      <w:rPr>
        <w:sz w:val="2"/>
        <w:szCs w:val="2"/>
        <w:rtl w:val="0"/>
      </w:rPr>
      <w:t xml:space="preserve"> </w:t>
    </w: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3">
    <w:pPr>
      <w:spacing w:after="160" w:line="259" w:lineRule="auto"/>
      <w:ind w:left="0" w:firstLine="0"/>
      <w:jc w:val="left"/>
      <w:rPr/>
    </w:pPr>
    <w:r w:rsidDel="00000000" w:rsidR="00000000" w:rsidRPr="00000000">
      <w:rPr>
        <w:rtl w:val="0"/>
      </w:rPr>
      <w:tab/>
      <w:tab/>
      <w:tab/>
      <w:tab/>
      <w:tab/>
      <w:tab/>
      <w:tab/>
      <w:t xml:space="preserve"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4">
    <w:pPr>
      <w:spacing w:after="160" w:line="259" w:lineRule="auto"/>
      <w:ind w:left="0" w:firstLine="0"/>
      <w:jc w:val="lef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decimal"/>
      <w:lvlText w:val="%1"/>
      <w:lvlJc w:val="left"/>
      <w:pPr>
        <w:ind w:left="360" w:hanging="36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decimal"/>
      <w:lvlText w:val="%1.%2."/>
      <w:lvlJc w:val="left"/>
      <w:pPr>
        <w:ind w:left="739" w:hanging="739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080" w:hanging="108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1800" w:hanging="180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2520" w:hanging="252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240" w:hanging="324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3960" w:hanging="396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4680" w:hanging="468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5400" w:hanging="540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52" w:hanging="352"/>
      </w:pPr>
      <w:rPr>
        <w:rFonts w:ascii="Arial" w:cs="Arial" w:eastAsia="Arial" w:hAnsi="Arial"/>
        <w:b w:val="1"/>
        <w:i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decimal"/>
      <w:lvlText w:val="%1.%2."/>
      <w:lvlJc w:val="left"/>
      <w:pPr>
        <w:ind w:left="1469" w:hanging="1469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1080" w:hanging="108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1800" w:hanging="180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2520" w:hanging="252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3240" w:hanging="324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3960" w:hanging="396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4680" w:hanging="468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5400" w:hanging="540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1095" w:hanging="1095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820" w:hanging="18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2540" w:hanging="25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3">
      <w:start w:val="1"/>
      <w:numFmt w:val="bullet"/>
      <w:lvlText w:val="•"/>
      <w:lvlJc w:val="left"/>
      <w:pPr>
        <w:ind w:left="3260" w:hanging="32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980" w:hanging="398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4700" w:hanging="470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6">
      <w:start w:val="1"/>
      <w:numFmt w:val="bullet"/>
      <w:lvlText w:val="•"/>
      <w:lvlJc w:val="left"/>
      <w:pPr>
        <w:ind w:left="5420" w:hanging="542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6140" w:hanging="614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860" w:hanging="6860"/>
      </w:pPr>
      <w:rPr>
        <w:rFonts w:ascii="Times New Roman" w:cs="Times New Roman" w:eastAsia="Times New Roman" w:hAnsi="Times New Roman"/>
        <w:b w:val="0"/>
        <w:i w:val="0"/>
        <w:strike w:val="0"/>
        <w:color w:val="000000"/>
        <w:sz w:val="24"/>
        <w:szCs w:val="24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cs-CZ"/>
      </w:rPr>
    </w:rPrDefault>
    <w:pPrDefault>
      <w:pPr>
        <w:spacing w:after="82" w:line="270" w:lineRule="auto"/>
        <w:ind w:left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12" w:before="0" w:line="259" w:lineRule="auto"/>
      <w:ind w:left="15" w:right="0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" w:before="0" w:line="258" w:lineRule="auto"/>
      <w:ind w:left="236" w:right="0" w:hanging="10"/>
      <w:jc w:val="left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19"/>
      <w:szCs w:val="19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" w:before="0" w:line="259" w:lineRule="auto"/>
      <w:ind w:left="236" w:right="0" w:hanging="10"/>
      <w:jc w:val="right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19"/>
      <w:szCs w:val="19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507" w:before="0" w:line="848" w:lineRule="auto"/>
      <w:ind w:left="10" w:right="220" w:hanging="1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4"/>
      <w:szCs w:val="3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507" w:before="0" w:line="848" w:lineRule="auto"/>
      <w:ind w:left="10" w:right="220" w:hanging="1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4"/>
      <w:szCs w:val="34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12" w:before="0" w:line="259" w:lineRule="auto"/>
      <w:ind w:left="15" w:right="0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9.0" w:type="dxa"/>
        <w:left w:w="10.0" w:type="dxa"/>
        <w:bottom w:w="6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5.0" w:type="dxa"/>
        <w:left w:w="10.0" w:type="dxa"/>
        <w:bottom w:w="0.0" w:type="dxa"/>
        <w:right w:w="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5.xml"/><Relationship Id="rId9" Type="http://schemas.openxmlformats.org/officeDocument/2006/relationships/footer" Target="footer6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4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