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89F3AA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34734F" w:rsidRPr="0034734F">
        <w:rPr>
          <w:b/>
          <w:sz w:val="22"/>
          <w:szCs w:val="22"/>
        </w:rPr>
        <w:t>II/114 Trnová most směr Hradec</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6EA7A9F0"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34734F">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26D3B" w:rsidRDefault="0038024A" w:rsidP="003C6092">
      <w:pPr>
        <w:pStyle w:val="Textodst1sl"/>
        <w:rPr>
          <w:sz w:val="22"/>
          <w:szCs w:val="22"/>
        </w:rPr>
      </w:pPr>
      <w:r w:rsidRPr="0038024A">
        <w:rPr>
          <w:sz w:val="22"/>
          <w:szCs w:val="22"/>
        </w:rPr>
        <w:t xml:space="preserve">Zhotovitel </w:t>
      </w:r>
      <w:r w:rsidRPr="00826D3B">
        <w:rPr>
          <w:sz w:val="22"/>
          <w:szCs w:val="22"/>
        </w:rPr>
        <w:t>poskytuje Objednateli záruku za jakost Díla v délce trvání:</w:t>
      </w:r>
    </w:p>
    <w:p w14:paraId="62350663" w14:textId="77BC0440" w:rsidR="003C6092" w:rsidRPr="00826D3B" w:rsidRDefault="00D7514E" w:rsidP="008D6ED8">
      <w:pPr>
        <w:pStyle w:val="Textodst1sl"/>
        <w:numPr>
          <w:ilvl w:val="0"/>
          <w:numId w:val="18"/>
        </w:numPr>
        <w:rPr>
          <w:b/>
          <w:sz w:val="22"/>
          <w:szCs w:val="22"/>
        </w:rPr>
      </w:pPr>
      <w:r w:rsidRPr="00826D3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826D3B">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0C85FCA7" w14:textId="17E2EC0F" w:rsidR="0034734F" w:rsidRPr="0034734F" w:rsidRDefault="004B4A01" w:rsidP="0034734F">
      <w:pPr>
        <w:pStyle w:val="Textodst1sl"/>
        <w:numPr>
          <w:ilvl w:val="0"/>
          <w:numId w:val="0"/>
        </w:numPr>
        <w:ind w:left="709"/>
        <w:rPr>
          <w:sz w:val="22"/>
          <w:szCs w:val="22"/>
        </w:rPr>
      </w:pPr>
      <w:r>
        <w:rPr>
          <w:sz w:val="22"/>
          <w:szCs w:val="22"/>
        </w:rPr>
        <w:tab/>
      </w:r>
      <w:r>
        <w:rPr>
          <w:sz w:val="22"/>
          <w:szCs w:val="22"/>
        </w:rPr>
        <w:tab/>
      </w:r>
      <w:r w:rsidR="0034734F" w:rsidRPr="0034734F">
        <w:rPr>
          <w:sz w:val="22"/>
          <w:szCs w:val="22"/>
        </w:rPr>
        <w:t>Vedoucí oblasti Benešov :  Jiří Brzoň,   jiri.brzon@ksus.cz 601 571</w:t>
      </w:r>
      <w:r w:rsidR="0034734F">
        <w:rPr>
          <w:sz w:val="22"/>
          <w:szCs w:val="22"/>
        </w:rPr>
        <w:t> </w:t>
      </w:r>
      <w:r w:rsidR="0034734F" w:rsidRPr="0034734F">
        <w:rPr>
          <w:sz w:val="22"/>
          <w:szCs w:val="22"/>
        </w:rPr>
        <w:t>016</w:t>
      </w:r>
    </w:p>
    <w:p w14:paraId="0B3A4C11" w14:textId="0B6803BA" w:rsidR="0034734F" w:rsidRPr="0034734F" w:rsidRDefault="0034734F" w:rsidP="0034734F">
      <w:pPr>
        <w:pStyle w:val="Textodst1sl"/>
        <w:numPr>
          <w:ilvl w:val="0"/>
          <w:numId w:val="0"/>
        </w:numPr>
        <w:ind w:left="709"/>
        <w:rPr>
          <w:sz w:val="22"/>
          <w:szCs w:val="22"/>
        </w:rPr>
      </w:pPr>
      <w:r>
        <w:rPr>
          <w:sz w:val="22"/>
          <w:szCs w:val="22"/>
        </w:rPr>
        <w:tab/>
      </w:r>
      <w:r>
        <w:rPr>
          <w:sz w:val="22"/>
          <w:szCs w:val="22"/>
        </w:rPr>
        <w:tab/>
      </w:r>
      <w:r w:rsidRPr="0034734F">
        <w:rPr>
          <w:sz w:val="22"/>
          <w:szCs w:val="22"/>
        </w:rPr>
        <w:t>Vedoucí manažer: Bc. Milan Jonszta,    milan.jonszta@ksus.cz, tel.: 602 436</w:t>
      </w:r>
      <w:r>
        <w:rPr>
          <w:sz w:val="22"/>
          <w:szCs w:val="22"/>
        </w:rPr>
        <w:t> </w:t>
      </w:r>
      <w:r w:rsidRPr="0034734F">
        <w:rPr>
          <w:sz w:val="22"/>
          <w:szCs w:val="22"/>
        </w:rPr>
        <w:t>864</w:t>
      </w:r>
    </w:p>
    <w:p w14:paraId="5684E0E5" w14:textId="37F543C6" w:rsidR="0034734F" w:rsidRPr="0034734F" w:rsidRDefault="0034734F" w:rsidP="0034734F">
      <w:pPr>
        <w:pStyle w:val="Textodst1sl"/>
        <w:numPr>
          <w:ilvl w:val="0"/>
          <w:numId w:val="0"/>
        </w:numPr>
        <w:ind w:left="709"/>
        <w:rPr>
          <w:sz w:val="22"/>
          <w:szCs w:val="22"/>
        </w:rPr>
      </w:pPr>
      <w:r>
        <w:rPr>
          <w:sz w:val="22"/>
          <w:szCs w:val="22"/>
        </w:rPr>
        <w:tab/>
      </w:r>
      <w:r>
        <w:rPr>
          <w:sz w:val="22"/>
          <w:szCs w:val="22"/>
        </w:rPr>
        <w:tab/>
      </w:r>
      <w:r w:rsidRPr="0034734F">
        <w:rPr>
          <w:sz w:val="22"/>
          <w:szCs w:val="22"/>
        </w:rPr>
        <w:t>Provozní cestmistr: Jan Langhans,         jan.langhans@ksus.cz, 723 673</w:t>
      </w:r>
      <w:r>
        <w:rPr>
          <w:sz w:val="22"/>
          <w:szCs w:val="22"/>
        </w:rPr>
        <w:t> </w:t>
      </w:r>
      <w:r w:rsidRPr="0034734F">
        <w:rPr>
          <w:sz w:val="22"/>
          <w:szCs w:val="22"/>
        </w:rPr>
        <w:t>073</w:t>
      </w:r>
    </w:p>
    <w:p w14:paraId="726E6948" w14:textId="44F96A8E" w:rsidR="004B4A01" w:rsidRDefault="0034734F" w:rsidP="0034734F">
      <w:pPr>
        <w:pStyle w:val="Textodst1sl"/>
        <w:numPr>
          <w:ilvl w:val="0"/>
          <w:numId w:val="0"/>
        </w:numPr>
        <w:ind w:left="709"/>
        <w:rPr>
          <w:sz w:val="22"/>
          <w:szCs w:val="22"/>
        </w:rPr>
      </w:pPr>
      <w:r>
        <w:rPr>
          <w:sz w:val="22"/>
          <w:szCs w:val="22"/>
        </w:rPr>
        <w:tab/>
      </w:r>
      <w:r>
        <w:rPr>
          <w:sz w:val="22"/>
          <w:szCs w:val="22"/>
        </w:rPr>
        <w:tab/>
      </w:r>
      <w:r w:rsidRPr="0034734F">
        <w:rPr>
          <w:sz w:val="22"/>
          <w:szCs w:val="22"/>
        </w:rPr>
        <w:t>Správní cestmistr:  Martina Roubíková, martina.roubikova@ksus.cz 725 561 304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DC387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DC3873">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1BB24" w14:textId="77777777" w:rsidR="00DC3873" w:rsidRDefault="00DC3873" w:rsidP="003C6092">
      <w:r>
        <w:separator/>
      </w:r>
    </w:p>
  </w:endnote>
  <w:endnote w:type="continuationSeparator" w:id="0">
    <w:p w14:paraId="67D5BD85" w14:textId="77777777" w:rsidR="00DC3873" w:rsidRDefault="00DC3873"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F262B" w14:textId="77777777" w:rsidR="00DC3873" w:rsidRDefault="00DC3873" w:rsidP="003C6092">
      <w:r>
        <w:separator/>
      </w:r>
    </w:p>
  </w:footnote>
  <w:footnote w:type="continuationSeparator" w:id="0">
    <w:p w14:paraId="131EA0FB" w14:textId="77777777" w:rsidR="00DC3873" w:rsidRDefault="00DC3873"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4734F"/>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30A1"/>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26D3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873"/>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9631</Words>
  <Characters>56825</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