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0E2CC24"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E32230" w:rsidRPr="00E32230">
        <w:rPr>
          <w:b/>
          <w:sz w:val="22"/>
          <w:szCs w:val="22"/>
        </w:rPr>
        <w:t xml:space="preserve">III/11811 Lhota u </w:t>
      </w:r>
      <w:proofErr w:type="gramStart"/>
      <w:r w:rsidR="00E32230" w:rsidRPr="00E32230">
        <w:rPr>
          <w:b/>
          <w:sz w:val="22"/>
          <w:szCs w:val="22"/>
        </w:rPr>
        <w:t>PB - Obecnice</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24DDC8E7"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E32230">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826D3B" w:rsidRDefault="0038024A" w:rsidP="003C6092">
      <w:pPr>
        <w:pStyle w:val="Textodst1sl"/>
        <w:rPr>
          <w:sz w:val="22"/>
          <w:szCs w:val="22"/>
        </w:rPr>
      </w:pPr>
      <w:r w:rsidRPr="0038024A">
        <w:rPr>
          <w:sz w:val="22"/>
          <w:szCs w:val="22"/>
        </w:rPr>
        <w:t xml:space="preserve">Zhotovitel </w:t>
      </w:r>
      <w:r w:rsidRPr="00826D3B">
        <w:rPr>
          <w:sz w:val="22"/>
          <w:szCs w:val="22"/>
        </w:rPr>
        <w:t>poskytuje Objednateli záruku za jakost Díla v délce trvání:</w:t>
      </w:r>
    </w:p>
    <w:p w14:paraId="62350663" w14:textId="77BC0440" w:rsidR="003C6092" w:rsidRPr="00826D3B" w:rsidRDefault="00D7514E" w:rsidP="008D6ED8">
      <w:pPr>
        <w:pStyle w:val="Textodst1sl"/>
        <w:numPr>
          <w:ilvl w:val="0"/>
          <w:numId w:val="18"/>
        </w:numPr>
        <w:rPr>
          <w:b/>
          <w:sz w:val="22"/>
          <w:szCs w:val="22"/>
        </w:rPr>
      </w:pPr>
      <w:r w:rsidRPr="00826D3B">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826D3B">
        <w:rPr>
          <w:sz w:val="22"/>
          <w:szCs w:val="22"/>
        </w:rPr>
        <w:t>Jde-li o dodávky třetích osob</w:t>
      </w:r>
      <w:r w:rsidRPr="0038024A">
        <w:rPr>
          <w:sz w:val="22"/>
          <w:szCs w:val="22"/>
        </w:rPr>
        <w:t>,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75E0703E" w14:textId="25A77A32" w:rsidR="00E32230" w:rsidRPr="00E32230" w:rsidRDefault="004B4A01" w:rsidP="00E32230">
      <w:pPr>
        <w:pStyle w:val="Textodst1sl"/>
        <w:numPr>
          <w:ilvl w:val="0"/>
          <w:numId w:val="0"/>
        </w:numPr>
        <w:ind w:left="709"/>
        <w:rPr>
          <w:sz w:val="22"/>
          <w:szCs w:val="22"/>
        </w:rPr>
      </w:pPr>
      <w:r>
        <w:rPr>
          <w:sz w:val="22"/>
          <w:szCs w:val="22"/>
        </w:rPr>
        <w:tab/>
      </w:r>
      <w:r>
        <w:rPr>
          <w:sz w:val="22"/>
          <w:szCs w:val="22"/>
        </w:rPr>
        <w:tab/>
      </w:r>
      <w:r w:rsidR="00E32230" w:rsidRPr="00E32230">
        <w:rPr>
          <w:sz w:val="22"/>
          <w:szCs w:val="22"/>
        </w:rPr>
        <w:t>Vedoucí oblasti Benešov :  Jiří Brzoň, jiri.brzon@ksus.cz 601 571</w:t>
      </w:r>
      <w:r w:rsidR="00E32230">
        <w:rPr>
          <w:sz w:val="22"/>
          <w:szCs w:val="22"/>
        </w:rPr>
        <w:t> </w:t>
      </w:r>
      <w:r w:rsidR="00E32230" w:rsidRPr="00E32230">
        <w:rPr>
          <w:sz w:val="22"/>
          <w:szCs w:val="22"/>
        </w:rPr>
        <w:t>016</w:t>
      </w:r>
    </w:p>
    <w:p w14:paraId="3E3EE213" w14:textId="2D886E49" w:rsidR="00E32230" w:rsidRPr="00E32230" w:rsidRDefault="00E32230" w:rsidP="00E32230">
      <w:pPr>
        <w:pStyle w:val="Textodst1sl"/>
        <w:numPr>
          <w:ilvl w:val="0"/>
          <w:numId w:val="0"/>
        </w:numPr>
        <w:ind w:left="709"/>
        <w:rPr>
          <w:sz w:val="22"/>
          <w:szCs w:val="22"/>
        </w:rPr>
      </w:pPr>
      <w:r>
        <w:rPr>
          <w:sz w:val="22"/>
          <w:szCs w:val="22"/>
        </w:rPr>
        <w:tab/>
      </w:r>
      <w:r>
        <w:rPr>
          <w:sz w:val="22"/>
          <w:szCs w:val="22"/>
        </w:rPr>
        <w:tab/>
      </w:r>
      <w:r w:rsidRPr="00E32230">
        <w:rPr>
          <w:sz w:val="22"/>
          <w:szCs w:val="22"/>
        </w:rPr>
        <w:t>Provozní cestmistr: Petr Vašek, petr.vasek@ksus.cz, 602 577</w:t>
      </w:r>
      <w:r>
        <w:rPr>
          <w:sz w:val="22"/>
          <w:szCs w:val="22"/>
        </w:rPr>
        <w:t> </w:t>
      </w:r>
      <w:r w:rsidRPr="00E32230">
        <w:rPr>
          <w:sz w:val="22"/>
          <w:szCs w:val="22"/>
        </w:rPr>
        <w:t>672</w:t>
      </w:r>
    </w:p>
    <w:p w14:paraId="0D73CDF2" w14:textId="6E41BC6C" w:rsidR="00E32230" w:rsidRPr="00E32230" w:rsidRDefault="00E32230" w:rsidP="00E32230">
      <w:pPr>
        <w:pStyle w:val="Textodst1sl"/>
        <w:numPr>
          <w:ilvl w:val="0"/>
          <w:numId w:val="0"/>
        </w:numPr>
        <w:ind w:left="709"/>
        <w:rPr>
          <w:sz w:val="22"/>
          <w:szCs w:val="22"/>
        </w:rPr>
      </w:pPr>
      <w:r>
        <w:rPr>
          <w:sz w:val="22"/>
          <w:szCs w:val="22"/>
        </w:rPr>
        <w:tab/>
      </w:r>
      <w:r>
        <w:rPr>
          <w:sz w:val="22"/>
          <w:szCs w:val="22"/>
        </w:rPr>
        <w:tab/>
      </w:r>
      <w:r w:rsidRPr="00E32230">
        <w:rPr>
          <w:sz w:val="22"/>
          <w:szCs w:val="22"/>
        </w:rPr>
        <w:t>Vedoucí manažer: Bc. Milan Jonszta, milan.jonszta@ksus.cz, tel.: 602 436</w:t>
      </w:r>
      <w:r>
        <w:rPr>
          <w:sz w:val="22"/>
          <w:szCs w:val="22"/>
        </w:rPr>
        <w:t> </w:t>
      </w:r>
      <w:r w:rsidRPr="00E32230">
        <w:rPr>
          <w:sz w:val="22"/>
          <w:szCs w:val="22"/>
        </w:rPr>
        <w:t>864</w:t>
      </w:r>
    </w:p>
    <w:p w14:paraId="726E6948" w14:textId="4974377B" w:rsidR="004B4A01" w:rsidRDefault="00E32230" w:rsidP="00E32230">
      <w:pPr>
        <w:pStyle w:val="Textodst1sl"/>
        <w:numPr>
          <w:ilvl w:val="0"/>
          <w:numId w:val="0"/>
        </w:numPr>
        <w:ind w:left="709"/>
        <w:rPr>
          <w:sz w:val="22"/>
          <w:szCs w:val="22"/>
        </w:rPr>
      </w:pPr>
      <w:r>
        <w:rPr>
          <w:sz w:val="22"/>
          <w:szCs w:val="22"/>
        </w:rPr>
        <w:tab/>
      </w:r>
      <w:r>
        <w:rPr>
          <w:sz w:val="22"/>
          <w:szCs w:val="22"/>
        </w:rPr>
        <w:tab/>
      </w:r>
      <w:r w:rsidRPr="00E32230">
        <w:rPr>
          <w:sz w:val="22"/>
          <w:szCs w:val="22"/>
        </w:rPr>
        <w:t>Správní cestmistr:  Alena Papežová, alena.papezova@ksus.cz 702 253 367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1C4EE9">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1C4EE9">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C1A34" w14:textId="77777777" w:rsidR="001C4EE9" w:rsidRDefault="001C4EE9" w:rsidP="003C6092">
      <w:r>
        <w:separator/>
      </w:r>
    </w:p>
  </w:endnote>
  <w:endnote w:type="continuationSeparator" w:id="0">
    <w:p w14:paraId="6E2BD07D" w14:textId="77777777" w:rsidR="001C4EE9" w:rsidRDefault="001C4EE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3D38B" w14:textId="77777777" w:rsidR="001C4EE9" w:rsidRDefault="001C4EE9" w:rsidP="003C6092">
      <w:r>
        <w:separator/>
      </w:r>
    </w:p>
  </w:footnote>
  <w:footnote w:type="continuationSeparator" w:id="0">
    <w:p w14:paraId="23357AD9" w14:textId="77777777" w:rsidR="001C4EE9" w:rsidRDefault="001C4EE9"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4EE9"/>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730A1"/>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26D3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230"/>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Props1.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2.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3.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9628</Words>
  <Characters>56806</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