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D3" w:rsidRDefault="00A468D3" w:rsidP="00820902">
      <w:pPr>
        <w:spacing w:after="240" w:line="240" w:lineRule="auto"/>
        <w:jc w:val="both"/>
      </w:pPr>
      <w:r w:rsidRPr="00592EAE">
        <w:t>Níže uvedeného dne, měsíce a roku uzavřely smluvní strany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5387"/>
      </w:tblGrid>
      <w:tr w:rsidR="00B4324E" w:rsidRPr="00C622EA" w:rsidTr="003D659C">
        <w:trPr>
          <w:trHeight w:val="284"/>
        </w:trPr>
        <w:tc>
          <w:tcPr>
            <w:tcW w:w="3119" w:type="dxa"/>
            <w:vAlign w:val="center"/>
          </w:tcPr>
          <w:p w:rsidR="00B4324E" w:rsidRPr="00C622EA" w:rsidRDefault="00B4324E" w:rsidP="003D659C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Obchodní firma / název</w:t>
            </w:r>
          </w:p>
        </w:tc>
        <w:tc>
          <w:tcPr>
            <w:tcW w:w="283" w:type="dxa"/>
            <w:vAlign w:val="center"/>
          </w:tcPr>
          <w:p w:rsidR="00B4324E" w:rsidRPr="00C622EA" w:rsidRDefault="00B4324E" w:rsidP="003D659C">
            <w:pPr>
              <w:spacing w:before="120" w:after="12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B4324E" w:rsidRPr="006767D0" w:rsidRDefault="00FD5EE3" w:rsidP="003D659C">
            <w:pPr>
              <w:spacing w:before="120" w:after="120" w:line="240" w:lineRule="auto"/>
              <w:jc w:val="both"/>
              <w:rPr>
                <w:b/>
              </w:rPr>
            </w:pPr>
            <w:r w:rsidRPr="00A15799">
              <w:rPr>
                <w:b/>
              </w:rPr>
              <w:t xml:space="preserve">Střední odborné učiliště a Praktická škola Kladno – </w:t>
            </w:r>
            <w:proofErr w:type="spellStart"/>
            <w:r w:rsidRPr="00A15799">
              <w:rPr>
                <w:b/>
              </w:rPr>
              <w:t>Vrapice</w:t>
            </w:r>
            <w:proofErr w:type="spellEnd"/>
            <w:r w:rsidRPr="00A15799">
              <w:rPr>
                <w:b/>
              </w:rPr>
              <w:t>, příspěvková organizace</w:t>
            </w:r>
          </w:p>
        </w:tc>
      </w:tr>
      <w:tr w:rsidR="00B4324E" w:rsidRPr="00C622EA" w:rsidTr="003D659C">
        <w:trPr>
          <w:trHeight w:val="284"/>
        </w:trPr>
        <w:tc>
          <w:tcPr>
            <w:tcW w:w="3119" w:type="dxa"/>
            <w:vAlign w:val="center"/>
          </w:tcPr>
          <w:p w:rsidR="00B4324E" w:rsidRPr="00C622EA" w:rsidRDefault="00B4324E" w:rsidP="003D659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283" w:type="dxa"/>
            <w:vAlign w:val="center"/>
          </w:tcPr>
          <w:p w:rsidR="00B4324E" w:rsidRPr="00C622EA" w:rsidRDefault="00B4324E" w:rsidP="003D659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B4324E" w:rsidRPr="00C622EA" w:rsidRDefault="00FD5EE3" w:rsidP="003D659C">
            <w:pPr>
              <w:spacing w:after="0" w:line="240" w:lineRule="auto"/>
              <w:jc w:val="both"/>
              <w:rPr>
                <w:b/>
              </w:rPr>
            </w:pPr>
            <w:r w:rsidRPr="00A15799">
              <w:t>00507601</w:t>
            </w:r>
          </w:p>
        </w:tc>
      </w:tr>
      <w:tr w:rsidR="00732A1C" w:rsidRPr="00C622EA" w:rsidTr="003D659C">
        <w:trPr>
          <w:trHeight w:val="284"/>
        </w:trPr>
        <w:tc>
          <w:tcPr>
            <w:tcW w:w="3119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FD5EE3" w:rsidRDefault="00FD5EE3" w:rsidP="00732A1C">
            <w:pPr>
              <w:spacing w:after="0" w:line="240" w:lineRule="auto"/>
              <w:jc w:val="both"/>
            </w:pPr>
            <w:r w:rsidRPr="00FD5EE3">
              <w:t>CZ00507601</w:t>
            </w:r>
          </w:p>
        </w:tc>
      </w:tr>
      <w:tr w:rsidR="00732A1C" w:rsidRPr="00C622EA" w:rsidTr="003D659C">
        <w:trPr>
          <w:trHeight w:val="284"/>
        </w:trPr>
        <w:tc>
          <w:tcPr>
            <w:tcW w:w="3119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 sídlem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B84E6B" w:rsidRDefault="00FD5EE3" w:rsidP="00B84E6B">
            <w:pPr>
              <w:spacing w:after="0" w:line="240" w:lineRule="auto"/>
              <w:jc w:val="both"/>
            </w:pPr>
            <w:proofErr w:type="spellStart"/>
            <w:r w:rsidRPr="00A15799">
              <w:t>Vrapická</w:t>
            </w:r>
            <w:proofErr w:type="spellEnd"/>
            <w:r w:rsidRPr="00A15799">
              <w:t xml:space="preserve"> 53, 272 03 Kladno</w:t>
            </w:r>
          </w:p>
        </w:tc>
      </w:tr>
      <w:tr w:rsidR="00732A1C" w:rsidRPr="00C622EA" w:rsidTr="003D659C">
        <w:trPr>
          <w:trHeight w:val="284"/>
        </w:trPr>
        <w:tc>
          <w:tcPr>
            <w:tcW w:w="3119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zastoupena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C622EA" w:rsidRDefault="00FD5EE3" w:rsidP="00732A1C">
            <w:pPr>
              <w:spacing w:after="0" w:line="240" w:lineRule="auto"/>
              <w:jc w:val="both"/>
              <w:rPr>
                <w:b/>
              </w:rPr>
            </w:pPr>
            <w:r>
              <w:t>Mgr. Ivanou Sedlákovou</w:t>
            </w:r>
            <w:r w:rsidRPr="005F1C70">
              <w:t xml:space="preserve">, ředitelkou </w:t>
            </w:r>
            <w:r>
              <w:t>školy</w:t>
            </w:r>
            <w:r w:rsidRPr="005F1C70">
              <w:t xml:space="preserve">  </w:t>
            </w:r>
          </w:p>
        </w:tc>
      </w:tr>
    </w:tbl>
    <w:p w:rsidR="00B4324E" w:rsidRPr="00E44D9A" w:rsidRDefault="00B4324E" w:rsidP="00B4324E">
      <w:pPr>
        <w:spacing w:before="120" w:after="0" w:line="240" w:lineRule="auto"/>
        <w:jc w:val="both"/>
      </w:pPr>
      <w:r>
        <w:t>(</w:t>
      </w:r>
      <w:r w:rsidRPr="009A3F42">
        <w:t xml:space="preserve">dále </w:t>
      </w:r>
      <w:r>
        <w:t>jen „</w:t>
      </w:r>
      <w:r w:rsidRPr="00C622EA">
        <w:rPr>
          <w:b/>
        </w:rPr>
        <w:t>K</w:t>
      </w:r>
      <w:r>
        <w:rPr>
          <w:b/>
        </w:rPr>
        <w:t>UPUJÍCÍ“</w:t>
      </w:r>
      <w:r>
        <w:t>)</w:t>
      </w:r>
    </w:p>
    <w:p w:rsidR="00B4324E" w:rsidRDefault="00B4324E" w:rsidP="00B4324E">
      <w:pPr>
        <w:spacing w:before="240" w:after="240" w:line="240" w:lineRule="auto"/>
        <w:jc w:val="both"/>
      </w:pPr>
      <w:r>
        <w:t>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5387"/>
      </w:tblGrid>
      <w:tr w:rsidR="00194279" w:rsidRPr="00C622EA" w:rsidTr="00194279">
        <w:trPr>
          <w:trHeight w:val="284"/>
        </w:trPr>
        <w:tc>
          <w:tcPr>
            <w:tcW w:w="3119" w:type="dxa"/>
            <w:vAlign w:val="center"/>
          </w:tcPr>
          <w:p w:rsidR="00194279" w:rsidRPr="00C622EA" w:rsidRDefault="00194279" w:rsidP="00DC6AE8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Obchodní firma / název</w:t>
            </w:r>
          </w:p>
        </w:tc>
        <w:tc>
          <w:tcPr>
            <w:tcW w:w="283" w:type="dxa"/>
            <w:vAlign w:val="center"/>
          </w:tcPr>
          <w:p w:rsidR="00194279" w:rsidRPr="00C622EA" w:rsidRDefault="00194279" w:rsidP="00DC6AE8">
            <w:pPr>
              <w:spacing w:before="120" w:after="12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194279" w:rsidRPr="00C622EA" w:rsidRDefault="00F7711D" w:rsidP="00DC6AE8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194279" w:rsidRPr="00C622EA" w:rsidTr="00194279">
        <w:trPr>
          <w:trHeight w:val="284"/>
        </w:trPr>
        <w:tc>
          <w:tcPr>
            <w:tcW w:w="3119" w:type="dxa"/>
            <w:vAlign w:val="center"/>
          </w:tcPr>
          <w:p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283" w:type="dxa"/>
            <w:vAlign w:val="center"/>
          </w:tcPr>
          <w:p w:rsidR="00194279" w:rsidRPr="00C622EA" w:rsidRDefault="00194279" w:rsidP="00DC6AE8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194279" w:rsidRPr="00C622EA" w:rsidRDefault="00F7711D" w:rsidP="00DC6AE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32A1C" w:rsidRPr="00C622EA" w:rsidTr="00194279">
        <w:trPr>
          <w:trHeight w:val="284"/>
        </w:trPr>
        <w:tc>
          <w:tcPr>
            <w:tcW w:w="3119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C622EA" w:rsidRDefault="00F7711D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32A1C" w:rsidRPr="00C622EA" w:rsidTr="00194279">
        <w:trPr>
          <w:trHeight w:val="284"/>
        </w:trPr>
        <w:tc>
          <w:tcPr>
            <w:tcW w:w="3119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 sídlem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C622EA" w:rsidRDefault="00F7711D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32A1C" w:rsidRPr="00C622EA" w:rsidTr="00194279">
        <w:trPr>
          <w:trHeight w:val="284"/>
        </w:trPr>
        <w:tc>
          <w:tcPr>
            <w:tcW w:w="3119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zapsaná v obchodním rejstříku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C622EA" w:rsidRDefault="00F7711D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32A1C" w:rsidRPr="00C622EA" w:rsidTr="00194279">
        <w:trPr>
          <w:trHeight w:val="284"/>
        </w:trPr>
        <w:tc>
          <w:tcPr>
            <w:tcW w:w="3119" w:type="dxa"/>
            <w:vAlign w:val="center"/>
          </w:tcPr>
          <w:p w:rsidR="00732A1C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C622EA" w:rsidRDefault="00F7711D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32A1C" w:rsidRPr="00C622EA" w:rsidTr="00194279">
        <w:trPr>
          <w:trHeight w:val="284"/>
        </w:trPr>
        <w:tc>
          <w:tcPr>
            <w:tcW w:w="3119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zastoupena</w:t>
            </w:r>
          </w:p>
        </w:tc>
        <w:tc>
          <w:tcPr>
            <w:tcW w:w="283" w:type="dxa"/>
            <w:vAlign w:val="center"/>
          </w:tcPr>
          <w:p w:rsidR="00732A1C" w:rsidRPr="00C622EA" w:rsidRDefault="00732A1C" w:rsidP="00732A1C">
            <w:pPr>
              <w:spacing w:after="0" w:line="240" w:lineRule="auto"/>
              <w:jc w:val="both"/>
              <w:rPr>
                <w:b/>
              </w:rPr>
            </w:pPr>
            <w:r w:rsidRPr="00C622EA">
              <w:rPr>
                <w:b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:rsidR="00732A1C" w:rsidRPr="00C622EA" w:rsidRDefault="00F7711D" w:rsidP="00732A1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44D9A" w:rsidRPr="00E44D9A" w:rsidRDefault="00E44D9A" w:rsidP="00C622EA">
      <w:pPr>
        <w:spacing w:before="120" w:after="0" w:line="240" w:lineRule="auto"/>
        <w:jc w:val="both"/>
      </w:pPr>
      <w:r>
        <w:t>(</w:t>
      </w:r>
      <w:r w:rsidRPr="009A3F42">
        <w:t xml:space="preserve">dále </w:t>
      </w:r>
      <w:r>
        <w:t xml:space="preserve">jen </w:t>
      </w:r>
      <w:r w:rsidR="00686C9A">
        <w:t>„</w:t>
      </w:r>
      <w:r w:rsidR="006A59A9" w:rsidRPr="00C622EA">
        <w:rPr>
          <w:b/>
        </w:rPr>
        <w:t>P</w:t>
      </w:r>
      <w:r w:rsidR="006A59A9">
        <w:rPr>
          <w:b/>
        </w:rPr>
        <w:t>RODÁVAJÍCÍ</w:t>
      </w:r>
      <w:r w:rsidR="00686C9A">
        <w:rPr>
          <w:b/>
        </w:rPr>
        <w:t>“</w:t>
      </w:r>
      <w:r>
        <w:t>)</w:t>
      </w:r>
    </w:p>
    <w:p w:rsidR="00E44D9A" w:rsidRPr="00E44D9A" w:rsidRDefault="00E44D9A" w:rsidP="00E44D9A">
      <w:pPr>
        <w:spacing w:before="240" w:after="120" w:line="240" w:lineRule="auto"/>
        <w:jc w:val="both"/>
      </w:pPr>
      <w:r w:rsidRPr="00E44D9A">
        <w:t>tuto</w:t>
      </w:r>
    </w:p>
    <w:p w:rsidR="00E44D9A" w:rsidRPr="00E44D9A" w:rsidRDefault="00AC48A2" w:rsidP="00B30D6A">
      <w:pPr>
        <w:pStyle w:val="StylSmluvNadpis"/>
        <w:spacing w:before="120"/>
        <w:rPr>
          <w:sz w:val="44"/>
          <w:szCs w:val="44"/>
        </w:rPr>
      </w:pPr>
      <w:r>
        <w:rPr>
          <w:sz w:val="44"/>
          <w:szCs w:val="44"/>
        </w:rPr>
        <w:t xml:space="preserve">KUPNÍ </w:t>
      </w:r>
      <w:r w:rsidR="00E44D9A">
        <w:rPr>
          <w:sz w:val="44"/>
          <w:szCs w:val="44"/>
        </w:rPr>
        <w:t xml:space="preserve">SMLOUVU </w:t>
      </w:r>
    </w:p>
    <w:p w:rsidR="00E44D9A" w:rsidRDefault="00E44D9A" w:rsidP="00AD0E32">
      <w:pPr>
        <w:spacing w:after="120"/>
        <w:jc w:val="center"/>
        <w:rPr>
          <w:szCs w:val="32"/>
        </w:rPr>
      </w:pPr>
      <w:r>
        <w:rPr>
          <w:szCs w:val="32"/>
        </w:rPr>
        <w:t>ve smyslu ustanovení</w:t>
      </w:r>
      <w:r w:rsidR="00AC48A2">
        <w:rPr>
          <w:szCs w:val="32"/>
        </w:rPr>
        <w:t xml:space="preserve"> § 207</w:t>
      </w:r>
      <w:r w:rsidR="00C622EA">
        <w:rPr>
          <w:szCs w:val="32"/>
        </w:rPr>
        <w:t>9 a násl. zákona</w:t>
      </w:r>
      <w:r w:rsidRPr="00807E3F">
        <w:rPr>
          <w:szCs w:val="32"/>
        </w:rPr>
        <w:t xml:space="preserve"> č. 89</w:t>
      </w:r>
      <w:r w:rsidR="00C622EA">
        <w:rPr>
          <w:szCs w:val="32"/>
        </w:rPr>
        <w:t>/2012 Sb., občanského zákoníku</w:t>
      </w:r>
      <w:r w:rsidR="00686C9A">
        <w:rPr>
          <w:szCs w:val="32"/>
        </w:rPr>
        <w:t>, v platném znění</w:t>
      </w:r>
    </w:p>
    <w:p w:rsidR="00E44D9A" w:rsidRPr="00807E3F" w:rsidRDefault="00DA27D4" w:rsidP="00AD0E32">
      <w:pPr>
        <w:spacing w:after="120"/>
        <w:jc w:val="center"/>
        <w:rPr>
          <w:szCs w:val="32"/>
        </w:rPr>
      </w:pPr>
      <w:r>
        <w:rPr>
          <w:szCs w:val="32"/>
        </w:rPr>
        <w:t xml:space="preserve">(dále jen </w:t>
      </w:r>
      <w:r w:rsidR="00686C9A">
        <w:rPr>
          <w:szCs w:val="32"/>
        </w:rPr>
        <w:t>„</w:t>
      </w:r>
      <w:r w:rsidR="006A59A9" w:rsidRPr="00C622EA">
        <w:rPr>
          <w:b/>
          <w:szCs w:val="32"/>
        </w:rPr>
        <w:t>SMLOUVA</w:t>
      </w:r>
      <w:r w:rsidR="00686C9A">
        <w:rPr>
          <w:b/>
          <w:szCs w:val="32"/>
        </w:rPr>
        <w:t>“</w:t>
      </w:r>
      <w:r w:rsidR="00E44D9A">
        <w:rPr>
          <w:szCs w:val="32"/>
        </w:rPr>
        <w:t>)</w:t>
      </w:r>
    </w:p>
    <w:p w:rsidR="00797014" w:rsidRPr="00797014" w:rsidRDefault="00B67BB0" w:rsidP="00171759">
      <w:pPr>
        <w:pStyle w:val="StylSmluv1"/>
      </w:pPr>
      <w:r>
        <w:br/>
      </w:r>
      <w:r w:rsidR="00AC48A2">
        <w:t>Základní</w:t>
      </w:r>
      <w:r w:rsidR="00797014" w:rsidRPr="00797014">
        <w:t xml:space="preserve"> ustanovení</w:t>
      </w:r>
    </w:p>
    <w:p w:rsidR="00AC48A2" w:rsidRDefault="006A59A9" w:rsidP="00AC48A2">
      <w:pPr>
        <w:pStyle w:val="StylSmluv2"/>
        <w:spacing w:after="120"/>
      </w:pPr>
      <w:r>
        <w:t xml:space="preserve">PRODÁVAJÍCÍ </w:t>
      </w:r>
      <w:r w:rsidR="00C622EA">
        <w:t xml:space="preserve">se zavazuje, že </w:t>
      </w:r>
      <w:r>
        <w:t xml:space="preserve">KUPUJÍCÍMU </w:t>
      </w:r>
      <w:r w:rsidR="00C622EA">
        <w:t xml:space="preserve">odevzdá níže specifikovanou věc, která je předmětem koupě, a umožní mu nabýt vlastnické právo k ní. </w:t>
      </w:r>
      <w:r>
        <w:t xml:space="preserve">KUPUJÍCÍ </w:t>
      </w:r>
      <w:r w:rsidR="00C622EA">
        <w:t xml:space="preserve">se zavazuje, že věc převezme a zaplatí </w:t>
      </w:r>
      <w:r>
        <w:t xml:space="preserve">PRODÁVAJÍCÍMU </w:t>
      </w:r>
      <w:r w:rsidR="00686C9A">
        <w:t xml:space="preserve">sjednanou </w:t>
      </w:r>
      <w:r w:rsidR="00C622EA">
        <w:t>kupní cenu.</w:t>
      </w:r>
    </w:p>
    <w:p w:rsidR="00B4324E" w:rsidRDefault="00B4324E" w:rsidP="00B4324E">
      <w:pPr>
        <w:pStyle w:val="StylSmluv2"/>
        <w:spacing w:after="120"/>
      </w:pPr>
      <w:r>
        <w:t xml:space="preserve">SMLOUVA se vztahuje k výběrovému řízení s názvem </w:t>
      </w:r>
      <w:r w:rsidR="0065562D">
        <w:t>„</w:t>
      </w:r>
      <w:r w:rsidR="00F71F88">
        <w:t>Dodávka výpočetní techniky</w:t>
      </w:r>
      <w:r w:rsidR="0065562D">
        <w:t xml:space="preserve">“, </w:t>
      </w:r>
      <w:r>
        <w:t xml:space="preserve">když </w:t>
      </w:r>
      <w:r w:rsidR="00F71F88">
        <w:rPr>
          <w:rFonts w:ascii="Calibri" w:hAnsi="Calibri"/>
        </w:rPr>
        <w:t>výzva k podání nabídky</w:t>
      </w:r>
      <w:r>
        <w:t xml:space="preserve">, včetně jejích příloh, je přílohou č. 1 této SMLOUVY. KUPUJÍCÍ </w:t>
      </w:r>
      <w:r w:rsidRPr="00695C04">
        <w:t xml:space="preserve">předpokládá spolufinancování nákupu </w:t>
      </w:r>
      <w:r>
        <w:t>předmětu koupě</w:t>
      </w:r>
      <w:r w:rsidRPr="00695C04">
        <w:t xml:space="preserve"> z</w:t>
      </w:r>
      <w:r>
        <w:t> Evropských strukturálních a investičních fondů.</w:t>
      </w:r>
      <w:r w:rsidRPr="00695C04">
        <w:t xml:space="preserve"> </w:t>
      </w:r>
    </w:p>
    <w:p w:rsidR="00AC48A2" w:rsidRPr="006F065B" w:rsidRDefault="00E32CFD" w:rsidP="00171759">
      <w:pPr>
        <w:pStyle w:val="StylSmluv1"/>
      </w:pPr>
      <w:r>
        <w:br/>
      </w:r>
      <w:r w:rsidR="00686C9A">
        <w:t>Specifikace p</w:t>
      </w:r>
      <w:r w:rsidR="00AC48A2" w:rsidRPr="006F065B">
        <w:t>ředmět</w:t>
      </w:r>
      <w:r w:rsidR="00686C9A">
        <w:t>u</w:t>
      </w:r>
      <w:r w:rsidR="00AC48A2" w:rsidRPr="006F065B">
        <w:t xml:space="preserve"> </w:t>
      </w:r>
      <w:r w:rsidR="00C622EA">
        <w:t>koupě</w:t>
      </w:r>
    </w:p>
    <w:p w:rsidR="00AC48A2" w:rsidRDefault="006A59A9" w:rsidP="00F23F65">
      <w:pPr>
        <w:pStyle w:val="StylSmluv2"/>
        <w:spacing w:after="120"/>
      </w:pPr>
      <w:r>
        <w:t>PRODÁVAJÍCÍ prohlašuje, že je výlučným vlastníkem věci</w:t>
      </w:r>
      <w:r w:rsidR="00F23F65">
        <w:t xml:space="preserve"> softwarového a hardwarového vybavení</w:t>
      </w:r>
      <w:r>
        <w:t xml:space="preserve"> </w:t>
      </w:r>
      <w:r w:rsidR="00387E7A">
        <w:t>vč. veškerých licencí potřebných k je</w:t>
      </w:r>
      <w:r w:rsidR="00250A06">
        <w:t>jic</w:t>
      </w:r>
      <w:r w:rsidR="00387E7A">
        <w:t xml:space="preserve">h užívání </w:t>
      </w:r>
      <w:r>
        <w:t>(</w:t>
      </w:r>
      <w:r w:rsidR="00AC48A2" w:rsidRPr="00807E3F">
        <w:t xml:space="preserve">dále </w:t>
      </w:r>
      <w:r>
        <w:t>jen</w:t>
      </w:r>
      <w:r w:rsidR="00AC48A2" w:rsidRPr="00807E3F">
        <w:t xml:space="preserve"> </w:t>
      </w:r>
      <w:r w:rsidR="00686C9A">
        <w:t>„</w:t>
      </w:r>
      <w:r w:rsidRPr="006A59A9">
        <w:rPr>
          <w:b/>
        </w:rPr>
        <w:t>PŘEDMĚT KOUPĚ</w:t>
      </w:r>
      <w:r w:rsidR="00686C9A">
        <w:rPr>
          <w:b/>
        </w:rPr>
        <w:t>“</w:t>
      </w:r>
      <w:r>
        <w:t>)</w:t>
      </w:r>
      <w:r w:rsidR="00AC48A2" w:rsidRPr="00807E3F">
        <w:t>.</w:t>
      </w:r>
      <w:r>
        <w:t xml:space="preserve"> Bližší specifikace PŘEDMĚTU KOUPĚ je uvedena v </w:t>
      </w:r>
      <w:r w:rsidR="00B4324E">
        <w:t>p</w:t>
      </w:r>
      <w:r>
        <w:t>řílo</w:t>
      </w:r>
      <w:r w:rsidR="00B4324E">
        <w:t>hách</w:t>
      </w:r>
      <w:r>
        <w:t xml:space="preserve"> SMLOUVY</w:t>
      </w:r>
      <w:r w:rsidR="00FE288B">
        <w:t>, jedná se zejména o následující dílčí předměty koupě:</w:t>
      </w:r>
      <w:r w:rsidR="00387E7A">
        <w:t xml:space="preserve"> </w:t>
      </w:r>
    </w:p>
    <w:p w:rsidR="001E5D4C" w:rsidRPr="001E5D4C" w:rsidRDefault="001E5D4C" w:rsidP="001E5D4C">
      <w:pPr>
        <w:pStyle w:val="StylSmmluv3"/>
      </w:pPr>
      <w:r w:rsidRPr="001E5D4C">
        <w:t>1x Dataprojektor</w:t>
      </w:r>
      <w:r>
        <w:t xml:space="preserve"> </w:t>
      </w:r>
    </w:p>
    <w:p w:rsidR="001E5D4C" w:rsidRDefault="001E5D4C" w:rsidP="001E5D4C">
      <w:pPr>
        <w:pStyle w:val="StylSmmluv3"/>
      </w:pPr>
      <w:r w:rsidRPr="001E5D4C">
        <w:t>1x Promítací plátno</w:t>
      </w:r>
      <w:r>
        <w:t xml:space="preserve"> </w:t>
      </w:r>
    </w:p>
    <w:p w:rsidR="001E5D4C" w:rsidRDefault="001E5D4C" w:rsidP="001E5D4C">
      <w:pPr>
        <w:pStyle w:val="StylSmmluv3"/>
      </w:pPr>
      <w:r>
        <w:lastRenderedPageBreak/>
        <w:t xml:space="preserve">1x Multifunkční tiskárna </w:t>
      </w:r>
    </w:p>
    <w:p w:rsidR="001E5D4C" w:rsidRDefault="001E5D4C" w:rsidP="001E5D4C">
      <w:pPr>
        <w:pStyle w:val="StylSmmluv3"/>
      </w:pPr>
      <w:r>
        <w:t xml:space="preserve">11x Notebook – Typ 1 </w:t>
      </w:r>
    </w:p>
    <w:p w:rsidR="001E5D4C" w:rsidRDefault="001E5D4C" w:rsidP="001E5D4C">
      <w:pPr>
        <w:pStyle w:val="StylSmmluv3"/>
      </w:pPr>
      <w:r>
        <w:t xml:space="preserve">11x Software pro notebook – operační systém </w:t>
      </w:r>
    </w:p>
    <w:p w:rsidR="001E5D4C" w:rsidRDefault="001E5D4C" w:rsidP="001E5D4C">
      <w:pPr>
        <w:pStyle w:val="StylSmmluv3"/>
        <w:numPr>
          <w:ilvl w:val="0"/>
          <w:numId w:val="0"/>
        </w:numPr>
        <w:ind w:left="1021"/>
      </w:pPr>
      <w:r>
        <w:t xml:space="preserve">11x Software pro notebook – kancelářský balík </w:t>
      </w:r>
    </w:p>
    <w:p w:rsidR="001E5D4C" w:rsidRDefault="001E5D4C" w:rsidP="001E5D4C">
      <w:pPr>
        <w:pStyle w:val="StylSmmluv3"/>
        <w:numPr>
          <w:ilvl w:val="0"/>
          <w:numId w:val="0"/>
        </w:numPr>
        <w:ind w:left="1021"/>
      </w:pPr>
      <w:r>
        <w:t xml:space="preserve">11x Software pro notebook – Antivirový program </w:t>
      </w:r>
    </w:p>
    <w:p w:rsidR="001E5D4C" w:rsidRDefault="001E5D4C" w:rsidP="001E5D4C">
      <w:pPr>
        <w:pStyle w:val="StylSmmluv3"/>
      </w:pPr>
      <w:r>
        <w:t xml:space="preserve">4x </w:t>
      </w:r>
      <w:proofErr w:type="spellStart"/>
      <w:r>
        <w:t>Multidotekové</w:t>
      </w:r>
      <w:proofErr w:type="spellEnd"/>
      <w:r>
        <w:t xml:space="preserve"> PC </w:t>
      </w:r>
    </w:p>
    <w:p w:rsidR="001E5D4C" w:rsidRDefault="001E5D4C" w:rsidP="001E5D4C">
      <w:pPr>
        <w:pStyle w:val="StylSmmluv3"/>
      </w:pPr>
      <w:r>
        <w:t xml:space="preserve">1x Notebook – Typ 2 </w:t>
      </w:r>
    </w:p>
    <w:p w:rsidR="001E5D4C" w:rsidRDefault="001E5D4C" w:rsidP="001E5D4C">
      <w:pPr>
        <w:pStyle w:val="StylSmmluv3"/>
      </w:pPr>
      <w:r w:rsidRPr="001E5D4C">
        <w:t>1x SW pro pořizování a popis zvukových nahrávek</w:t>
      </w:r>
      <w:r>
        <w:t xml:space="preserve"> </w:t>
      </w:r>
    </w:p>
    <w:p w:rsidR="001E5D4C" w:rsidRPr="001E5D4C" w:rsidRDefault="001E5D4C" w:rsidP="001E5D4C">
      <w:pPr>
        <w:pStyle w:val="StylSmmluv3"/>
      </w:pPr>
      <w:r w:rsidRPr="001E5D4C">
        <w:t xml:space="preserve">1x SW pro cílené početní úlohy podporující samostatnost v obchodě a při zacházení s penězi 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se souborem úloh na procvičení paměti – </w:t>
      </w:r>
      <w:proofErr w:type="spellStart"/>
      <w:r w:rsidRPr="001E5D4C">
        <w:t>Memory</w:t>
      </w:r>
      <w:proofErr w:type="spellEnd"/>
      <w:r w:rsidRPr="001E5D4C">
        <w:t xml:space="preserve"> Management </w:t>
      </w:r>
    </w:p>
    <w:p w:rsidR="001E5D4C" w:rsidRPr="001E5D4C" w:rsidRDefault="001E5D4C" w:rsidP="001E5D4C">
      <w:pPr>
        <w:pStyle w:val="StylSmmluv3"/>
      </w:pPr>
      <w:r w:rsidRPr="001E5D4C">
        <w:t xml:space="preserve">1x SW komunikační tabulka včetně hlasového výstupu 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pro alternativní komunikaci </w:t>
      </w:r>
    </w:p>
    <w:p w:rsidR="001E5D4C" w:rsidRPr="001E5D4C" w:rsidRDefault="001E5D4C" w:rsidP="001E5D4C">
      <w:pPr>
        <w:pStyle w:val="StylSmmluv3"/>
      </w:pPr>
      <w:r w:rsidRPr="001E5D4C">
        <w:t xml:space="preserve">1x multimediální SW 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k procvičování analýzy a syntézy při čtení a psaní 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k poznávání základů matematiky </w:t>
      </w:r>
    </w:p>
    <w:p w:rsidR="001E5D4C" w:rsidRPr="001E5D4C" w:rsidRDefault="001E5D4C" w:rsidP="001E5D4C">
      <w:pPr>
        <w:pStyle w:val="StylSmmluv3"/>
      </w:pPr>
      <w:r w:rsidRPr="001E5D4C">
        <w:t xml:space="preserve">1x SW pro rozvoj komunikačních dovedností </w:t>
      </w:r>
    </w:p>
    <w:p w:rsidR="0053490B" w:rsidRDefault="0053490B" w:rsidP="0053490B">
      <w:pPr>
        <w:pStyle w:val="StylSmluv2"/>
        <w:spacing w:after="120"/>
      </w:pPr>
      <w:r>
        <w:t>Spolu s převodem vlastnického práva k PŘEDMĚTU KOUPĚ se převádí i vlastnické právo k veškerému příslušenství PŘEDMĚTU KOUPĚ.</w:t>
      </w:r>
    </w:p>
    <w:p w:rsidR="00B4324E" w:rsidRDefault="00B4324E" w:rsidP="00B4324E">
      <w:pPr>
        <w:pStyle w:val="StylSmluv2"/>
        <w:spacing w:after="120"/>
      </w:pPr>
      <w:r>
        <w:t>PRODÁVAJÍCÍ prohlašuje, že PŘEDMĚT KOUPĚ</w:t>
      </w:r>
      <w:r w:rsidRPr="00C9218C">
        <w:t xml:space="preserve"> </w:t>
      </w:r>
      <w:r>
        <w:t xml:space="preserve">je věcí novou a netrpí žádnou právní vadou, že neexistuje žádná okolnost bránící uzavření SMLOUVY a převodu vlastnického práva k PŘEDMĚTU KOUPĚ na KUPUJÍCÍHO. </w:t>
      </w:r>
    </w:p>
    <w:p w:rsidR="00AC48A2" w:rsidRPr="006F065B" w:rsidRDefault="00E32CFD" w:rsidP="00171759">
      <w:pPr>
        <w:pStyle w:val="StylSmluv1"/>
      </w:pPr>
      <w:r>
        <w:br/>
      </w:r>
      <w:r w:rsidR="00AC48A2" w:rsidRPr="006F065B">
        <w:t>Kupní cena</w:t>
      </w:r>
    </w:p>
    <w:p w:rsidR="001E5D4C" w:rsidRPr="001E5D4C" w:rsidRDefault="00F23F65" w:rsidP="00AC436C">
      <w:pPr>
        <w:pStyle w:val="StylSmluv2"/>
        <w:spacing w:after="120"/>
      </w:pPr>
      <w:r>
        <w:t>Celková k</w:t>
      </w:r>
      <w:r w:rsidR="00AC436C" w:rsidRPr="006F065B">
        <w:t xml:space="preserve">upní cena </w:t>
      </w:r>
      <w:r w:rsidR="00AC436C">
        <w:t>PŘEDMĚTU KOUPĚ</w:t>
      </w:r>
      <w:r w:rsidR="001E5D4C">
        <w:t xml:space="preserve"> (tj. celkového součtu jednotlivých kupních cen všech požadovaných zařízení v </w:t>
      </w:r>
      <w:r w:rsidR="001E5D4C" w:rsidRPr="003243D0">
        <w:t>požadovaném množství specifiko</w:t>
      </w:r>
      <w:r w:rsidR="00F7711D">
        <w:t>vaném ve výzvě k podání nabídek</w:t>
      </w:r>
      <w:r w:rsidR="001E5D4C" w:rsidRPr="003243D0">
        <w:t xml:space="preserve"> </w:t>
      </w:r>
      <w:r w:rsidR="00AC436C" w:rsidRPr="003243D0">
        <w:t xml:space="preserve">je ujednána dohodou stran a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AC436C" w:rsidRPr="003243D0">
        <w:rPr>
          <w:b/>
        </w:rPr>
        <w:t>,--</w:t>
      </w:r>
      <w:r w:rsidR="00AC436C" w:rsidRPr="003243D0" w:rsidDel="0041207F">
        <w:rPr>
          <w:b/>
        </w:rPr>
        <w:t xml:space="preserve"> </w:t>
      </w:r>
      <w:r w:rsidR="00AC436C" w:rsidRPr="003243D0">
        <w:rPr>
          <w:b/>
        </w:rPr>
        <w:t>Kč</w:t>
      </w:r>
      <w:r w:rsidR="00AC436C" w:rsidRPr="003243D0">
        <w:t xml:space="preserve"> bez DPH, DPH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AC436C" w:rsidRPr="003243D0">
        <w:rPr>
          <w:b/>
        </w:rPr>
        <w:t>,--</w:t>
      </w:r>
      <w:r w:rsidR="00AC436C" w:rsidRPr="003243D0" w:rsidDel="0041207F">
        <w:rPr>
          <w:b/>
        </w:rPr>
        <w:t xml:space="preserve"> </w:t>
      </w:r>
      <w:r w:rsidR="00AC436C" w:rsidRPr="003243D0">
        <w:rPr>
          <w:b/>
        </w:rPr>
        <w:t>Kč,</w:t>
      </w:r>
      <w:r w:rsidR="00AC436C" w:rsidRPr="003243D0">
        <w:t xml:space="preserve"> </w:t>
      </w:r>
      <w:r w:rsidR="001E5D4C" w:rsidRPr="003243D0">
        <w:t xml:space="preserve">celková </w:t>
      </w:r>
      <w:r w:rsidR="00AC436C" w:rsidRPr="003243D0">
        <w:t>kupní cena PŘEDMĚTU KOUPĚ vč. DPH činí</w:t>
      </w:r>
      <w:r w:rsidR="00AC436C" w:rsidRPr="003243D0">
        <w:rPr>
          <w:b/>
        </w:rPr>
        <w:t xml:space="preserve">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AC436C" w:rsidRPr="003243D0">
        <w:rPr>
          <w:b/>
        </w:rPr>
        <w:t>,--</w:t>
      </w:r>
      <w:r w:rsidR="00AC436C" w:rsidRPr="003243D0" w:rsidDel="0041207F">
        <w:rPr>
          <w:b/>
        </w:rPr>
        <w:t xml:space="preserve"> </w:t>
      </w:r>
      <w:r w:rsidR="00AC436C" w:rsidRPr="003243D0">
        <w:rPr>
          <w:b/>
        </w:rPr>
        <w:t>Kč.</w:t>
      </w:r>
      <w:r w:rsidR="00AC436C">
        <w:rPr>
          <w:b/>
        </w:rPr>
        <w:t xml:space="preserve"> </w:t>
      </w:r>
    </w:p>
    <w:p w:rsidR="00AC436C" w:rsidRDefault="00AC436C" w:rsidP="00AC436C">
      <w:pPr>
        <w:pStyle w:val="StylSmluv2"/>
        <w:spacing w:after="120"/>
      </w:pPr>
      <w:r>
        <w:t>Kupní cena za jednotlivé dílčí PŘEDMĚTY KOUPĚ je uvedena v nabídce PRODÁVAJÍCÍHO, která je přílohou č. 2 této SMLOUVY</w:t>
      </w:r>
      <w:r w:rsidR="00250A06">
        <w:t xml:space="preserve"> a je stanovena tak, že k</w:t>
      </w:r>
      <w:r w:rsidR="001E5D4C">
        <w:t>upní cena za</w:t>
      </w:r>
    </w:p>
    <w:p w:rsidR="001E5D4C" w:rsidRPr="001E5D4C" w:rsidRDefault="001E5D4C" w:rsidP="001E5D4C">
      <w:pPr>
        <w:pStyle w:val="StylSmmluv3"/>
      </w:pPr>
      <w:r w:rsidRPr="001E5D4C">
        <w:t>1x Dataprojektor</w:t>
      </w:r>
      <w:r>
        <w:t xml:space="preserve">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>
        <w:t xml:space="preserve"> bez DPH, </w:t>
      </w:r>
    </w:p>
    <w:p w:rsidR="001E5D4C" w:rsidRDefault="001E5D4C" w:rsidP="001E5D4C">
      <w:pPr>
        <w:pStyle w:val="StylSmmluv3"/>
      </w:pPr>
      <w:r w:rsidRPr="001E5D4C">
        <w:t>1x Promítací plátno</w:t>
      </w:r>
      <w:r>
        <w:t xml:space="preserve">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>
        <w:t xml:space="preserve"> bez DPH,</w:t>
      </w:r>
    </w:p>
    <w:p w:rsidR="001E5D4C" w:rsidRDefault="001E5D4C" w:rsidP="001E5D4C">
      <w:pPr>
        <w:pStyle w:val="StylSmmluv3"/>
      </w:pPr>
      <w:r>
        <w:t xml:space="preserve">1x Multifunkční tiskárna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DPH,</w:t>
      </w:r>
    </w:p>
    <w:p w:rsidR="001E5D4C" w:rsidRDefault="001E5D4C" w:rsidP="001E5D4C">
      <w:pPr>
        <w:pStyle w:val="StylSmmluv3"/>
      </w:pPr>
      <w:r>
        <w:t>1</w:t>
      </w:r>
      <w:r w:rsidR="00EA7AB7">
        <w:t>1</w:t>
      </w:r>
      <w:r>
        <w:t xml:space="preserve">x Notebook – Typ 1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DPH,</w:t>
      </w:r>
    </w:p>
    <w:p w:rsidR="001E5D4C" w:rsidRDefault="001E5D4C" w:rsidP="001E5D4C">
      <w:pPr>
        <w:pStyle w:val="StylSmmluv3"/>
      </w:pPr>
      <w:r>
        <w:t>1</w:t>
      </w:r>
      <w:r w:rsidR="00EA7AB7">
        <w:t>1</w:t>
      </w:r>
      <w:r>
        <w:t xml:space="preserve">x Software pro notebook – operační systém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DPH,</w:t>
      </w:r>
    </w:p>
    <w:p w:rsidR="001E5D4C" w:rsidRDefault="001E5D4C" w:rsidP="001E5D4C">
      <w:pPr>
        <w:pStyle w:val="StylSmmluv3"/>
        <w:numPr>
          <w:ilvl w:val="0"/>
          <w:numId w:val="0"/>
        </w:numPr>
        <w:ind w:left="1021"/>
      </w:pPr>
      <w:r>
        <w:t>1</w:t>
      </w:r>
      <w:r w:rsidR="00EA7AB7">
        <w:t>1</w:t>
      </w:r>
      <w:r>
        <w:t xml:space="preserve">x Software pro notebook – kancelářský balík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DPH,</w:t>
      </w:r>
    </w:p>
    <w:p w:rsidR="001E5D4C" w:rsidRDefault="001E5D4C" w:rsidP="001E5D4C">
      <w:pPr>
        <w:pStyle w:val="StylSmmluv3"/>
        <w:numPr>
          <w:ilvl w:val="0"/>
          <w:numId w:val="0"/>
        </w:numPr>
        <w:ind w:left="1021"/>
      </w:pPr>
      <w:r>
        <w:t>1</w:t>
      </w:r>
      <w:r w:rsidR="00EA7AB7">
        <w:t>1</w:t>
      </w:r>
      <w:r>
        <w:t xml:space="preserve">x Software pro notebook – Antivirový program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DPH,</w:t>
      </w:r>
    </w:p>
    <w:p w:rsidR="001E5D4C" w:rsidRDefault="00EA7AB7" w:rsidP="001E5D4C">
      <w:pPr>
        <w:pStyle w:val="StylSmmluv3"/>
      </w:pPr>
      <w:r>
        <w:t>4</w:t>
      </w:r>
      <w:r w:rsidR="001E5D4C">
        <w:t xml:space="preserve">x </w:t>
      </w:r>
      <w:proofErr w:type="spellStart"/>
      <w:r w:rsidR="001E5D4C">
        <w:t>Multidotekové</w:t>
      </w:r>
      <w:proofErr w:type="spellEnd"/>
      <w:r w:rsidR="001E5D4C">
        <w:t xml:space="preserve"> PC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="001E5D4C">
        <w:t>bez DPH,</w:t>
      </w:r>
    </w:p>
    <w:p w:rsidR="001E5D4C" w:rsidRDefault="001E5D4C" w:rsidP="001E5D4C">
      <w:pPr>
        <w:pStyle w:val="StylSmmluv3"/>
      </w:pPr>
      <w:r>
        <w:t xml:space="preserve">1x Notebook – Typ 2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DPH,</w:t>
      </w:r>
    </w:p>
    <w:p w:rsidR="001E5D4C" w:rsidRDefault="001E5D4C" w:rsidP="002550EB">
      <w:pPr>
        <w:pStyle w:val="StylSmmluv3"/>
      </w:pPr>
      <w:r w:rsidRPr="001E5D4C">
        <w:t>1x SW pro pořizování a popis zvukových nahrávek</w:t>
      </w:r>
      <w:r>
        <w:t xml:space="preserve">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DPH,</w:t>
      </w:r>
    </w:p>
    <w:p w:rsidR="001E5D4C" w:rsidRPr="001E5D4C" w:rsidRDefault="001E5D4C" w:rsidP="001E5D4C">
      <w:pPr>
        <w:pStyle w:val="StylSmmluv3"/>
      </w:pPr>
      <w:r w:rsidRPr="001E5D4C">
        <w:t xml:space="preserve">1x SW pro cílené početní úlohy podporující samostatnost v obchodě a při zacházení s penězi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Pr="001E5D4C">
        <w:t>bez DPH,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se souborem úloh na procvičení paměti – </w:t>
      </w:r>
      <w:proofErr w:type="spellStart"/>
      <w:r w:rsidRPr="001E5D4C">
        <w:t>Memory</w:t>
      </w:r>
      <w:proofErr w:type="spellEnd"/>
      <w:r w:rsidRPr="001E5D4C">
        <w:t xml:space="preserve"> Management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Pr="001E5D4C">
        <w:t>bez DPH,</w:t>
      </w:r>
    </w:p>
    <w:p w:rsidR="001E5D4C" w:rsidRPr="001E5D4C" w:rsidRDefault="001E5D4C" w:rsidP="001E5D4C">
      <w:pPr>
        <w:pStyle w:val="StylSmmluv3"/>
      </w:pPr>
      <w:r w:rsidRPr="001E5D4C">
        <w:t xml:space="preserve">1x SW komunikační tabulka včetně hlasového výstupu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Pr="001E5D4C">
        <w:t>bez DPH,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pro alternativní komunikaci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Pr="001E5D4C">
        <w:t>bez DPH,</w:t>
      </w:r>
    </w:p>
    <w:p w:rsidR="001E5D4C" w:rsidRPr="001E5D4C" w:rsidRDefault="001E5D4C" w:rsidP="001E5D4C">
      <w:pPr>
        <w:pStyle w:val="StylSmmluv3"/>
      </w:pPr>
      <w:r w:rsidRPr="001E5D4C">
        <w:t xml:space="preserve">1x multimediální SW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Pr="001E5D4C">
        <w:t>bez DPH,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k procvičování analýzy a syntézy při čtení a psaní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Pr="001E5D4C">
        <w:t>bez DPH,</w:t>
      </w:r>
    </w:p>
    <w:p w:rsidR="001E5D4C" w:rsidRPr="001E5D4C" w:rsidRDefault="001E5D4C" w:rsidP="001E5D4C">
      <w:pPr>
        <w:pStyle w:val="StylSmmluv3"/>
        <w:numPr>
          <w:ilvl w:val="0"/>
          <w:numId w:val="0"/>
        </w:numPr>
        <w:ind w:left="1021"/>
      </w:pPr>
      <w:r w:rsidRPr="001E5D4C">
        <w:t xml:space="preserve">1x SW k poznávání základů matematiky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 w:rsidRPr="001E5D4C">
        <w:t>bez DPH,</w:t>
      </w:r>
    </w:p>
    <w:p w:rsidR="001E5D4C" w:rsidRPr="001E5D4C" w:rsidRDefault="001E5D4C" w:rsidP="001E5D4C">
      <w:pPr>
        <w:pStyle w:val="StylSmmluv3"/>
      </w:pPr>
      <w:r w:rsidRPr="001E5D4C">
        <w:lastRenderedPageBreak/>
        <w:t xml:space="preserve">1x SW pro rozvoj komunikačních dovedností činí </w:t>
      </w:r>
      <w:r w:rsidR="00F771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11D">
        <w:rPr>
          <w:b/>
        </w:rPr>
        <w:instrText xml:space="preserve"> FORMTEXT </w:instrText>
      </w:r>
      <w:r w:rsidR="00F7711D">
        <w:rPr>
          <w:b/>
        </w:rPr>
      </w:r>
      <w:r w:rsidR="00F7711D">
        <w:rPr>
          <w:b/>
        </w:rPr>
        <w:fldChar w:fldCharType="separate"/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  <w:noProof/>
        </w:rPr>
        <w:t> </w:t>
      </w:r>
      <w:r w:rsidR="00F7711D">
        <w:rPr>
          <w:b/>
        </w:rPr>
        <w:fldChar w:fldCharType="end"/>
      </w:r>
      <w:r w:rsidR="00F7711D">
        <w:rPr>
          <w:b/>
        </w:rPr>
        <w:t xml:space="preserve"> </w:t>
      </w:r>
      <w:r>
        <w:t>bez DPH.</w:t>
      </w:r>
    </w:p>
    <w:p w:rsidR="005A0C6F" w:rsidRDefault="006A59A9" w:rsidP="006A59A9">
      <w:pPr>
        <w:pStyle w:val="StylSmluv2"/>
        <w:spacing w:after="120"/>
      </w:pPr>
      <w:r>
        <w:t>KUPUJÍCÍ se zavazuje zaplatit kupní cenu</w:t>
      </w:r>
      <w:r w:rsidR="005A0C6F" w:rsidRPr="006A59A9">
        <w:t xml:space="preserve"> na </w:t>
      </w:r>
      <w:r>
        <w:t xml:space="preserve">bankovní </w:t>
      </w:r>
      <w:r w:rsidR="005A0C6F" w:rsidRPr="006A59A9">
        <w:t xml:space="preserve">účet </w:t>
      </w:r>
      <w:r w:rsidRPr="006A59A9">
        <w:t xml:space="preserve">PRODÁVAJÍCÍHO </w:t>
      </w:r>
      <w:r>
        <w:t>uvedený v úvodu SMLOUVY, a to</w:t>
      </w:r>
      <w:r w:rsidR="005A0C6F" w:rsidRPr="006A59A9">
        <w:t xml:space="preserve"> nejpozději do </w:t>
      </w:r>
      <w:r w:rsidR="0089788C">
        <w:t>30</w:t>
      </w:r>
      <w:r>
        <w:t xml:space="preserve"> </w:t>
      </w:r>
      <w:r w:rsidR="005A0C6F" w:rsidRPr="006A59A9">
        <w:t xml:space="preserve">dnů od </w:t>
      </w:r>
      <w:r w:rsidR="0089788C">
        <w:t>řádné</w:t>
      </w:r>
      <w:r w:rsidR="00B67736">
        <w:t>ho</w:t>
      </w:r>
      <w:r w:rsidR="0089788C">
        <w:t xml:space="preserve"> předání PŘEDMĚTU KOUPĚ.</w:t>
      </w:r>
      <w:r w:rsidR="005A0C6F" w:rsidRPr="006A59A9">
        <w:t xml:space="preserve"> Zaplacením </w:t>
      </w:r>
      <w:r w:rsidR="00686C9A">
        <w:t>kupní ceny se rozumí připsání peněžní částky v odpovídající výši</w:t>
      </w:r>
      <w:r w:rsidR="005A0C6F" w:rsidRPr="006A59A9">
        <w:t xml:space="preserve"> na účet </w:t>
      </w:r>
      <w:r w:rsidRPr="006A59A9">
        <w:t>PRODÁVAJÍCÍHO</w:t>
      </w:r>
      <w:r w:rsidR="005A0C6F" w:rsidRPr="006A59A9">
        <w:t>.</w:t>
      </w:r>
    </w:p>
    <w:p w:rsidR="00E34E69" w:rsidRDefault="00E34E69" w:rsidP="006A59A9">
      <w:pPr>
        <w:pStyle w:val="StylSmluv2"/>
        <w:spacing w:after="120"/>
      </w:pPr>
      <w:r>
        <w:t>V kupní ceně jsou zahrnuty veškeré náklady PRODÁVAJÍCÍHO spojené s plněním předmětu této SMLOUVY a poskytnutím souvisejících služeb</w:t>
      </w:r>
      <w:r w:rsidR="00C702C2">
        <w:t>, zejména náklad</w:t>
      </w:r>
      <w:r w:rsidR="00B67736">
        <w:t>y</w:t>
      </w:r>
      <w:r w:rsidR="00250A06">
        <w:t xml:space="preserve"> na dopravu a balení</w:t>
      </w:r>
      <w:r>
        <w:t xml:space="preserve">. </w:t>
      </w:r>
    </w:p>
    <w:p w:rsidR="00AC436C" w:rsidRPr="006A59A9" w:rsidRDefault="00AC436C" w:rsidP="00AC436C">
      <w:pPr>
        <w:pStyle w:val="StylSmluv2"/>
        <w:spacing w:after="120"/>
      </w:pPr>
      <w:r>
        <w:t xml:space="preserve">Kupní cena zahrnuje veškeré licence požadované KUPUJÍCÍM v zadávacích podmínkách k výběrovému řízení </w:t>
      </w:r>
      <w:r w:rsidR="00387E7A">
        <w:t>„Dodávka výpočetní techniky“,</w:t>
      </w:r>
      <w:r>
        <w:t xml:space="preserve"> když </w:t>
      </w:r>
      <w:r w:rsidR="00F71F88">
        <w:rPr>
          <w:rFonts w:ascii="Calibri" w:hAnsi="Calibri"/>
        </w:rPr>
        <w:t xml:space="preserve">výzva k podání nabídky </w:t>
      </w:r>
      <w:r w:rsidR="00387E7A">
        <w:t>je přílohou č. 1</w:t>
      </w:r>
      <w:r>
        <w:t xml:space="preserve"> této SMLOUVY</w:t>
      </w:r>
      <w:r w:rsidRPr="006E2B41">
        <w:t>.</w:t>
      </w:r>
    </w:p>
    <w:p w:rsidR="00F36EEE" w:rsidRDefault="00F36EEE" w:rsidP="00F36EEE">
      <w:pPr>
        <w:pStyle w:val="StylSmluv2"/>
        <w:spacing w:after="120"/>
      </w:pPr>
      <w:r>
        <w:t xml:space="preserve">PRODÁVAJÍCÍ je oprávněn vystavit daňový doklad po řádném předání PŘEDMĚTU KOUPĚ, když přílohou daňového dokladu bude KUPUJÍCÍM potvrzený předávací protokol. </w:t>
      </w:r>
    </w:p>
    <w:p w:rsidR="00AC48A2" w:rsidRPr="006F065B" w:rsidRDefault="00E32CFD" w:rsidP="00171759">
      <w:pPr>
        <w:pStyle w:val="StylSmluv1"/>
      </w:pPr>
      <w:r>
        <w:br/>
      </w:r>
      <w:r w:rsidR="006E2B41">
        <w:t>Odevzdání</w:t>
      </w:r>
      <w:r w:rsidR="00C247D0">
        <w:t xml:space="preserve"> předmětu </w:t>
      </w:r>
      <w:r w:rsidR="00B60E61">
        <w:t>koupě</w:t>
      </w:r>
    </w:p>
    <w:p w:rsidR="006E2B41" w:rsidRDefault="006E2B41" w:rsidP="00993E7D">
      <w:pPr>
        <w:pStyle w:val="StylSmluv2"/>
      </w:pPr>
      <w:r w:rsidRPr="006E2B41">
        <w:t xml:space="preserve">PRODÁVAJÍCÍ je povinen odevzdat PŘEDMĚT KOUPĚ KUPUJÍCÍMU nejpozději do </w:t>
      </w:r>
      <w:r w:rsidR="00387E7A">
        <w:t>30 dnů od uzavření S</w:t>
      </w:r>
      <w:r w:rsidR="00387E7A" w:rsidRPr="006F065B">
        <w:t>MLOUVY</w:t>
      </w:r>
      <w:r w:rsidR="00387E7A">
        <w:t>.</w:t>
      </w:r>
    </w:p>
    <w:p w:rsidR="006E2B41" w:rsidRPr="006E2B41" w:rsidRDefault="006E2B41" w:rsidP="00993E7D">
      <w:pPr>
        <w:pStyle w:val="StylSmluv2"/>
      </w:pPr>
      <w:r>
        <w:t xml:space="preserve">Místem odevzdání a převzetí PŘEDMĚTU KOUPĚ je </w:t>
      </w:r>
      <w:r w:rsidR="00B4324E" w:rsidRPr="00B4324E">
        <w:t>sídlo KUPUJÍCÍHO</w:t>
      </w:r>
      <w:r w:rsidR="00B4324E">
        <w:t>.</w:t>
      </w:r>
    </w:p>
    <w:p w:rsidR="006E2B41" w:rsidRDefault="006E2B41" w:rsidP="00993E7D">
      <w:pPr>
        <w:pStyle w:val="StylSmluv2"/>
      </w:pPr>
      <w:r w:rsidRPr="006E2B41">
        <w:t xml:space="preserve">Povinnost odevzdat PŘEDMĚT KOUPĚ je splněna, umožní-li PRODÁVAJÍCÍ KUPUJÍCÍMU s PŘEDMĚTEM KOUPĚ nakládat v místě </w:t>
      </w:r>
      <w:r>
        <w:t xml:space="preserve">plnění. </w:t>
      </w:r>
      <w:r w:rsidR="00AC436C">
        <w:t xml:space="preserve">Odevzdání PŘEDMĚTU KOUPĚ </w:t>
      </w:r>
      <w:r w:rsidR="00AC436C" w:rsidRPr="00AC436C">
        <w:t>nezahrnuje</w:t>
      </w:r>
      <w:r w:rsidR="00AC436C">
        <w:t xml:space="preserve"> jeho montáž, instalaci a předvedení způsobilosti sloužit svému účelu.</w:t>
      </w:r>
    </w:p>
    <w:p w:rsidR="00EF0FD6" w:rsidRDefault="00EF0FD6" w:rsidP="00993E7D">
      <w:pPr>
        <w:pStyle w:val="StylSmluv2"/>
      </w:pPr>
      <w:r>
        <w:t>KUPUJÍCÍ je povinen PRODÁVAJÍCÍM odevzdaný PŘEDMĚT KOUPĚ</w:t>
      </w:r>
      <w:r w:rsidR="00194279">
        <w:t xml:space="preserve"> převzít.</w:t>
      </w:r>
    </w:p>
    <w:p w:rsidR="00EF0FD6" w:rsidRDefault="00EF0FD6" w:rsidP="00993E7D">
      <w:pPr>
        <w:pStyle w:val="StylSmluv2"/>
      </w:pPr>
      <w:r>
        <w:t>O odevzdání a převzetí PŘEDMĚTU KOUPĚ sepíší smluvní strany předávací protokol.</w:t>
      </w:r>
    </w:p>
    <w:p w:rsidR="00E93650" w:rsidRDefault="00E93650" w:rsidP="00E93650">
      <w:pPr>
        <w:pStyle w:val="StylSmluv2"/>
        <w:spacing w:after="120"/>
      </w:pPr>
      <w:r>
        <w:t>V případě prodlení PRODÁVAJÍCÍHO se včasným odevzdáním PŘEDMĚTU KOUPĚ je PRODÁVAJÍCÍ povinen zaplatit KUPUJ</w:t>
      </w:r>
      <w:r w:rsidR="00B4324E">
        <w:t>ÍCÍMU smluvní pokutu ve výši 0,1</w:t>
      </w:r>
      <w:r>
        <w:t xml:space="preserve"> % z kupní ceny denně.</w:t>
      </w:r>
    </w:p>
    <w:p w:rsidR="00AC48A2" w:rsidRPr="006F065B" w:rsidRDefault="00E32CFD" w:rsidP="00171759">
      <w:pPr>
        <w:pStyle w:val="StylSmluv1"/>
      </w:pPr>
      <w:r>
        <w:br/>
      </w:r>
      <w:r w:rsidR="00AC48A2" w:rsidRPr="006F065B">
        <w:t>Vlastnické právo, přechod nebezpečí škody na věci</w:t>
      </w:r>
    </w:p>
    <w:p w:rsidR="00E32CFD" w:rsidRDefault="007126EC" w:rsidP="00292833">
      <w:pPr>
        <w:pStyle w:val="StylSmluv2"/>
        <w:spacing w:after="120"/>
      </w:pPr>
      <w:r>
        <w:t xml:space="preserve">KUPUJÍCÍ nabývá vlastnické právo k PŘEDMĚTU KOUPĚ </w:t>
      </w:r>
      <w:r w:rsidR="00B4324E">
        <w:t>a n</w:t>
      </w:r>
      <w:r w:rsidR="00EF0FD6">
        <w:t>ebezpečí škody na PŘEDMĚTU KOUPĚ přechází na kupujícího okamžikem převzetí</w:t>
      </w:r>
      <w:r w:rsidR="00686C9A">
        <w:t xml:space="preserve"> PŘEDMĚTU KOUPĚ</w:t>
      </w:r>
      <w:r w:rsidR="00EF0FD6">
        <w:t>.</w:t>
      </w:r>
      <w:r w:rsidR="0053490B">
        <w:t xml:space="preserve"> </w:t>
      </w:r>
    </w:p>
    <w:p w:rsidR="00E93650" w:rsidRPr="006F065B" w:rsidRDefault="00E93650" w:rsidP="00171759">
      <w:pPr>
        <w:pStyle w:val="StylSmluv1"/>
      </w:pPr>
      <w:r>
        <w:br/>
        <w:t>Záruka za jakost</w:t>
      </w:r>
    </w:p>
    <w:p w:rsidR="00E93650" w:rsidRDefault="00E93650" w:rsidP="00E93650">
      <w:pPr>
        <w:pStyle w:val="StylSmluv2"/>
        <w:spacing w:after="120"/>
      </w:pPr>
      <w:r>
        <w:t xml:space="preserve">PRODÁVAJÍCÍ poskytuje KUPUJÍCÍMU záruku za jakost PŘEDMĚTU KOUPĚ, tj. za jeho způsobilost k použití pro obvyklý účel a za zachování obvyklých vlastností, v trvání </w:t>
      </w:r>
      <w:r w:rsidR="00AC436C">
        <w:t>minimálně 24</w:t>
      </w:r>
      <w:r>
        <w:t xml:space="preserve"> měsíců (záruční doba),</w:t>
      </w:r>
      <w:r w:rsidR="00AC436C">
        <w:t xml:space="preserve"> </w:t>
      </w:r>
      <w:r>
        <w:t>počínaje dnem převzetí PŘEDMĚTU KOUPĚ KUPUJÍCÍM.</w:t>
      </w:r>
      <w:r w:rsidR="00AC436C">
        <w:t xml:space="preserve"> Poskytuje-li výrobce záruku za jakost delší než 24 měsíců, je PRODÁVAJÍCÍ povinen poskytnout záruku v délce poskytované výrobcem.</w:t>
      </w:r>
    </w:p>
    <w:p w:rsidR="00E93650" w:rsidRDefault="00E93650" w:rsidP="00E93650">
      <w:pPr>
        <w:pStyle w:val="StylSmluv2"/>
        <w:spacing w:after="120"/>
      </w:pPr>
      <w:r>
        <w:t>Vyskytne-li se v průběhu záruční doby na PŘEDMĚTU KOUPĚ vada, má KUPUJÍCÍ</w:t>
      </w:r>
      <w:r w:rsidR="00C86804">
        <w:t xml:space="preserve"> dle své volby právo na bezplatné odstranění vady, anebo na přiměřenou slevu z kupní ceny.</w:t>
      </w:r>
    </w:p>
    <w:p w:rsidR="00C86804" w:rsidRPr="00C66E4E" w:rsidRDefault="00C86804" w:rsidP="00E93650">
      <w:pPr>
        <w:pStyle w:val="StylSmluv2"/>
        <w:spacing w:after="120"/>
      </w:pPr>
      <w:r>
        <w:t xml:space="preserve">Zvolí-li KUPUJÍCÍ právo na odstranění vady, na niž se vztahuje záruka, opravou PŘEDMĚTU KOUPĚ, zavazuje se PRODÁVAJÍCÍ provést opravu PŘEDMĚTU KOUPĚ nejpozději </w:t>
      </w:r>
      <w:r w:rsidRPr="00C66E4E">
        <w:t xml:space="preserve">do pěti </w:t>
      </w:r>
      <w:r w:rsidR="00EC5A14" w:rsidRPr="00C66E4E">
        <w:t xml:space="preserve">(5) </w:t>
      </w:r>
      <w:r w:rsidRPr="00C66E4E">
        <w:t>pracovních dnů ode dne oznámení vady KUPUJÍCÍM.</w:t>
      </w:r>
    </w:p>
    <w:p w:rsidR="00C86804" w:rsidRDefault="00C86804" w:rsidP="00C86804">
      <w:pPr>
        <w:pStyle w:val="StylSmluv2"/>
        <w:spacing w:after="120"/>
      </w:pPr>
      <w:r>
        <w:t>V případě prodlení PRODÁVAJÍCÍHO se včasným provedením záruční opravy PŘEDMĚTU KOUPĚ je PRODÁVAJÍCÍ povinen zaplatit KUPUJÍCÍMU smluvní p</w:t>
      </w:r>
      <w:r w:rsidR="00686C9A">
        <w:t>okutu ve výši 0,1</w:t>
      </w:r>
      <w:r>
        <w:t xml:space="preserve"> % z kupní ceny denně.</w:t>
      </w:r>
    </w:p>
    <w:p w:rsidR="00AC48A2" w:rsidRPr="006F065B" w:rsidRDefault="008512F8" w:rsidP="00171759">
      <w:pPr>
        <w:pStyle w:val="StylSmluv1"/>
      </w:pPr>
      <w:r>
        <w:lastRenderedPageBreak/>
        <w:br/>
      </w:r>
      <w:r w:rsidR="00DF00B7">
        <w:t>Odstoupení od S</w:t>
      </w:r>
      <w:r w:rsidR="00AC48A2" w:rsidRPr="006F065B">
        <w:t>mlouvy</w:t>
      </w:r>
    </w:p>
    <w:p w:rsidR="00BF7E50" w:rsidRDefault="00AD0E32" w:rsidP="00AC48A2">
      <w:pPr>
        <w:pStyle w:val="StylSmluv2"/>
        <w:spacing w:after="120"/>
      </w:pPr>
      <w:r>
        <w:t>KUPUJÍCÍ</w:t>
      </w:r>
      <w:r w:rsidR="00BF7E50">
        <w:t xml:space="preserve"> </w:t>
      </w:r>
      <w:r w:rsidR="00E32CFD">
        <w:t xml:space="preserve">je oprávněn odstoupit od </w:t>
      </w:r>
      <w:r w:rsidR="00BF7E50">
        <w:t xml:space="preserve">SMLOUVY </w:t>
      </w:r>
      <w:r w:rsidR="00E32CFD">
        <w:t>v</w:t>
      </w:r>
      <w:r w:rsidR="00686C9A">
        <w:t> </w:t>
      </w:r>
      <w:r w:rsidR="00E32CFD">
        <w:t>případě</w:t>
      </w:r>
      <w:r w:rsidR="00686C9A">
        <w:t>:</w:t>
      </w:r>
    </w:p>
    <w:p w:rsidR="00BF7E50" w:rsidRDefault="00BF7E50" w:rsidP="00BF7E50">
      <w:pPr>
        <w:pStyle w:val="StylSmluv2"/>
        <w:numPr>
          <w:ilvl w:val="0"/>
          <w:numId w:val="16"/>
        </w:numPr>
        <w:spacing w:after="120"/>
      </w:pPr>
      <w:r>
        <w:t xml:space="preserve">prodlení </w:t>
      </w:r>
      <w:r w:rsidR="00AD0E32">
        <w:t>PRODÁVAJÍCÍHO</w:t>
      </w:r>
      <w:r>
        <w:t xml:space="preserve"> s</w:t>
      </w:r>
      <w:r w:rsidR="00AD0E32">
        <w:t> odevzdáním PŘEDMĚTU KOUPĚ</w:t>
      </w:r>
      <w:r w:rsidR="00AC48A2" w:rsidRPr="006F065B">
        <w:t xml:space="preserve"> po dobu delší než </w:t>
      </w:r>
      <w:r>
        <w:t>patnáct (</w:t>
      </w:r>
      <w:r w:rsidR="00AC48A2" w:rsidRPr="006F065B">
        <w:t>15</w:t>
      </w:r>
      <w:r>
        <w:t>)</w:t>
      </w:r>
      <w:r w:rsidR="00AC48A2" w:rsidRPr="006F065B">
        <w:t xml:space="preserve"> </w:t>
      </w:r>
      <w:r w:rsidR="00AD0E32">
        <w:t>dnů,</w:t>
      </w:r>
    </w:p>
    <w:p w:rsidR="00AD0E32" w:rsidRDefault="00AD0E32" w:rsidP="00BF7E50">
      <w:pPr>
        <w:pStyle w:val="StylSmluv2"/>
        <w:numPr>
          <w:ilvl w:val="0"/>
          <w:numId w:val="16"/>
        </w:numPr>
        <w:spacing w:after="120"/>
      </w:pPr>
      <w:r>
        <w:t>zjištění vady PŘEDMĚTU KOUPĚ, která podstatně snižuje nebo vylučuje funkčnost PŘEDMĚTU KOUPĚ,</w:t>
      </w:r>
    </w:p>
    <w:p w:rsidR="00AC48A2" w:rsidRPr="006F065B" w:rsidRDefault="00AC48A2" w:rsidP="00BF7E50">
      <w:pPr>
        <w:pStyle w:val="StylSmluv2"/>
        <w:numPr>
          <w:ilvl w:val="0"/>
          <w:numId w:val="16"/>
        </w:numPr>
        <w:spacing w:after="120"/>
      </w:pPr>
      <w:r w:rsidRPr="006F065B">
        <w:t xml:space="preserve">prodlení </w:t>
      </w:r>
      <w:r w:rsidR="00AD0E32">
        <w:t>PRODÁVAJÍCÍHO</w:t>
      </w:r>
      <w:r w:rsidR="00BF7E50" w:rsidRPr="006F065B">
        <w:t xml:space="preserve"> </w:t>
      </w:r>
      <w:r w:rsidRPr="006F065B">
        <w:t xml:space="preserve">se splněním kterékoli povinnosti vyplývající ze </w:t>
      </w:r>
      <w:r w:rsidR="00BF7E50">
        <w:t>S</w:t>
      </w:r>
      <w:r w:rsidR="00BF7E50" w:rsidRPr="006F065B">
        <w:t>MLOUVY</w:t>
      </w:r>
      <w:r w:rsidR="00E32CFD">
        <w:t xml:space="preserve">, na kterou byl písemně upozorněn a tuto nesplnil </w:t>
      </w:r>
      <w:r w:rsidR="008512F8">
        <w:t>ani do</w:t>
      </w:r>
      <w:r w:rsidRPr="006F065B">
        <w:t xml:space="preserve"> </w:t>
      </w:r>
      <w:r w:rsidR="00BF7E50">
        <w:t>patnácti (15)</w:t>
      </w:r>
      <w:r w:rsidRPr="006F065B">
        <w:t xml:space="preserve"> dnů</w:t>
      </w:r>
      <w:r w:rsidR="00E32CFD">
        <w:t xml:space="preserve"> od upozornění</w:t>
      </w:r>
      <w:r w:rsidRPr="006F065B">
        <w:t>.</w:t>
      </w:r>
    </w:p>
    <w:p w:rsidR="00AC48A2" w:rsidRDefault="00E32CFD" w:rsidP="00AC48A2">
      <w:pPr>
        <w:pStyle w:val="StylSmluv2"/>
        <w:spacing w:after="120"/>
      </w:pPr>
      <w:r>
        <w:t xml:space="preserve">Odstoupení se nedotýká </w:t>
      </w:r>
      <w:r w:rsidR="00BF7E50">
        <w:t>již vzniklých práv</w:t>
      </w:r>
      <w:r>
        <w:t xml:space="preserve"> </w:t>
      </w:r>
      <w:r w:rsidR="00AD0E32">
        <w:t>KUPUJÍCÍHO</w:t>
      </w:r>
      <w:r w:rsidR="00642C72" w:rsidRPr="006F065B">
        <w:t xml:space="preserve"> </w:t>
      </w:r>
      <w:r w:rsidR="00AC48A2" w:rsidRPr="006F065B">
        <w:t xml:space="preserve">ze </w:t>
      </w:r>
      <w:r w:rsidR="00642C72">
        <w:t>S</w:t>
      </w:r>
      <w:r w:rsidR="00642C72" w:rsidRPr="006F065B">
        <w:t>MLOUVY</w:t>
      </w:r>
      <w:r w:rsidR="00AC48A2" w:rsidRPr="006F065B">
        <w:t xml:space="preserve">, zejména </w:t>
      </w:r>
      <w:r w:rsidR="00BF7E50">
        <w:t>práva na ná</w:t>
      </w:r>
      <w:r w:rsidR="00FA5DD0">
        <w:t>hradu škody</w:t>
      </w:r>
      <w:r w:rsidR="00BF7E50">
        <w:t xml:space="preserve"> nebo smluvní pokutu</w:t>
      </w:r>
      <w:r w:rsidR="00AC48A2" w:rsidRPr="006F065B">
        <w:t>.</w:t>
      </w:r>
    </w:p>
    <w:p w:rsidR="00AC48A2" w:rsidRPr="006F065B" w:rsidRDefault="00AC48A2" w:rsidP="00AC48A2">
      <w:pPr>
        <w:pStyle w:val="StylSmluv2"/>
        <w:spacing w:after="120"/>
      </w:pPr>
      <w:r w:rsidRPr="006F065B">
        <w:t>V případě o</w:t>
      </w:r>
      <w:r w:rsidR="009C3BBD">
        <w:t xml:space="preserve">dstoupení od </w:t>
      </w:r>
      <w:r w:rsidR="00BF7E50">
        <w:t xml:space="preserve">SMLOUVY </w:t>
      </w:r>
      <w:r w:rsidR="00E32CFD">
        <w:t xml:space="preserve">ze strany </w:t>
      </w:r>
      <w:r w:rsidR="00AD0E32">
        <w:t>KUPUJÍCÍHO</w:t>
      </w:r>
      <w:r w:rsidR="00BF7E50" w:rsidRPr="006F065B">
        <w:t xml:space="preserve"> </w:t>
      </w:r>
      <w:r w:rsidRPr="006F065B">
        <w:t xml:space="preserve">je </w:t>
      </w:r>
      <w:r w:rsidR="00AD0E32">
        <w:t>PRODÁVAJÍCÍ</w:t>
      </w:r>
      <w:r w:rsidR="00BF7E50" w:rsidRPr="006F065B">
        <w:t xml:space="preserve"> </w:t>
      </w:r>
      <w:r w:rsidRPr="006F065B">
        <w:t xml:space="preserve">povinen </w:t>
      </w:r>
      <w:r w:rsidR="00AD0E32">
        <w:t>vrátit KUPUJÍCÍMU zaplacenou kupní cenu</w:t>
      </w:r>
      <w:r w:rsidRPr="006F065B">
        <w:t xml:space="preserve"> </w:t>
      </w:r>
      <w:r w:rsidR="004D391F">
        <w:t xml:space="preserve">do pěti (5) dnů </w:t>
      </w:r>
      <w:r w:rsidR="00686C9A">
        <w:t>od</w:t>
      </w:r>
      <w:r w:rsidRPr="006F065B">
        <w:t xml:space="preserve"> doručení odstoupení</w:t>
      </w:r>
      <w:r w:rsidR="00AD0E32">
        <w:t xml:space="preserve"> a vrácení PŘEDMĚTU KOUPĚ KUPUJÍCÍM, dle toho, co nastane později</w:t>
      </w:r>
      <w:r w:rsidRPr="006F065B">
        <w:t>.</w:t>
      </w:r>
      <w:r w:rsidR="00BF7E50">
        <w:t xml:space="preserve"> Poruší-li tuto povinnost, je </w:t>
      </w:r>
      <w:r w:rsidR="00AD0E32">
        <w:t>PRODÁVAJÍCÍ</w:t>
      </w:r>
      <w:r w:rsidR="00BF7E50">
        <w:t xml:space="preserve"> povinen zaplatit</w:t>
      </w:r>
      <w:r w:rsidRPr="006F065B">
        <w:t xml:space="preserve"> </w:t>
      </w:r>
      <w:r w:rsidR="00AD0E32">
        <w:t>KUPUJÍCÍMU</w:t>
      </w:r>
      <w:r w:rsidR="00BF7E50">
        <w:t xml:space="preserve"> smluvní pokutu ve </w:t>
      </w:r>
      <w:r w:rsidRPr="006F065B">
        <w:t>výši 20</w:t>
      </w:r>
      <w:r w:rsidR="00BF7E50">
        <w:t> </w:t>
      </w:r>
      <w:r w:rsidRPr="006F065B">
        <w:t xml:space="preserve">% z kupní ceny za každých započatých </w:t>
      </w:r>
      <w:r w:rsidR="00BF7E50">
        <w:t>patnáct (15)</w:t>
      </w:r>
      <w:r w:rsidRPr="006F065B">
        <w:t xml:space="preserve"> </w:t>
      </w:r>
      <w:r w:rsidR="00BF7E50">
        <w:t>dnů prodlení</w:t>
      </w:r>
      <w:r w:rsidRPr="006F065B">
        <w:t>.</w:t>
      </w:r>
    </w:p>
    <w:p w:rsidR="00AC48A2" w:rsidRPr="006F065B" w:rsidRDefault="00B26EBE" w:rsidP="00171759">
      <w:pPr>
        <w:pStyle w:val="StylSmluv1"/>
      </w:pPr>
      <w:r>
        <w:br/>
        <w:t>Doručování písemností</w:t>
      </w:r>
    </w:p>
    <w:p w:rsidR="00AC48A2" w:rsidRPr="006F065B" w:rsidRDefault="00642C72" w:rsidP="00AC48A2">
      <w:pPr>
        <w:pStyle w:val="StylSmluv2"/>
        <w:spacing w:after="120"/>
      </w:pPr>
      <w:r w:rsidRPr="006F065B">
        <w:t xml:space="preserve">PRODÁVAJÍCÍMU </w:t>
      </w:r>
      <w:r w:rsidR="00F26E13">
        <w:t xml:space="preserve">i </w:t>
      </w:r>
      <w:r>
        <w:t xml:space="preserve">KUPUJÍCÍMU </w:t>
      </w:r>
      <w:r w:rsidR="00AC48A2" w:rsidRPr="006F065B">
        <w:t xml:space="preserve">budou písemnosti v souvislosti se </w:t>
      </w:r>
      <w:r>
        <w:t>S</w:t>
      </w:r>
      <w:r w:rsidRPr="006F065B">
        <w:t xml:space="preserve">MLOUVOU </w:t>
      </w:r>
      <w:r w:rsidR="00AC48A2" w:rsidRPr="006F065B">
        <w:t xml:space="preserve">doručovány doporučeně na adresu uvedenou </w:t>
      </w:r>
      <w:r w:rsidR="00F26E13">
        <w:t>v</w:t>
      </w:r>
      <w:r>
        <w:t> úvodu SMLOUVY</w:t>
      </w:r>
      <w:r w:rsidR="00AC48A2" w:rsidRPr="006F065B">
        <w:t>.</w:t>
      </w:r>
    </w:p>
    <w:p w:rsidR="00B26EBE" w:rsidRPr="00285066" w:rsidRDefault="00B26EBE" w:rsidP="00B26EBE">
      <w:pPr>
        <w:pStyle w:val="StylSmluv2"/>
      </w:pPr>
      <w:r w:rsidRPr="00285066">
        <w:t>Písemnost se považuje za doručenou okamžikem převzetí druhou stranou</w:t>
      </w:r>
      <w:r w:rsidR="00642C72">
        <w:t>,</w:t>
      </w:r>
      <w:r w:rsidRPr="00285066">
        <w:t xml:space="preserve"> stejně tak okam</w:t>
      </w:r>
      <w:r w:rsidR="00642C72">
        <w:t>žikem odepření převzetí zásilky a n</w:t>
      </w:r>
      <w:r w:rsidRPr="00285066">
        <w:t xml:space="preserve">epodaří-li se </w:t>
      </w:r>
      <w:r w:rsidR="00642C72">
        <w:t xml:space="preserve">písemnost </w:t>
      </w:r>
      <w:r w:rsidRPr="00285066">
        <w:t xml:space="preserve">doručit, pak třetím </w:t>
      </w:r>
      <w:r w:rsidR="00686C9A">
        <w:t>(5</w:t>
      </w:r>
      <w:r w:rsidR="00642C72">
        <w:t xml:space="preserve">.) </w:t>
      </w:r>
      <w:r w:rsidRPr="00285066">
        <w:t>dnem následujícím po řádném odeslání doporučeného dopisu.</w:t>
      </w:r>
    </w:p>
    <w:p w:rsidR="00797014" w:rsidRPr="0015257C" w:rsidRDefault="00E44D9A" w:rsidP="00171759">
      <w:pPr>
        <w:pStyle w:val="StylSmluv1"/>
      </w:pPr>
      <w:r>
        <w:br/>
      </w:r>
      <w:r w:rsidR="00797014" w:rsidRPr="0015257C">
        <w:t>Závěrečná ustanovení</w:t>
      </w:r>
    </w:p>
    <w:p w:rsidR="006B7638" w:rsidRPr="0015257C" w:rsidRDefault="006B7638" w:rsidP="006B7638">
      <w:pPr>
        <w:pStyle w:val="StylSmluv2"/>
        <w:spacing w:after="120"/>
      </w:pPr>
      <w:r>
        <w:t>S</w:t>
      </w:r>
      <w:r w:rsidRPr="0015257C">
        <w:t xml:space="preserve">MLOUVA se řídí českým právním řádem, zejména </w:t>
      </w:r>
      <w:r>
        <w:t>zákonem</w:t>
      </w:r>
      <w:r w:rsidRPr="0015257C">
        <w:t xml:space="preserve"> č. 89/2012 Sb., </w:t>
      </w:r>
      <w:r w:rsidR="00686C9A">
        <w:t>občanským zákoníkem.</w:t>
      </w:r>
      <w:r w:rsidRPr="0015257C">
        <w:t xml:space="preserve"> </w:t>
      </w:r>
    </w:p>
    <w:p w:rsidR="003074ED" w:rsidRDefault="003074ED" w:rsidP="003074ED">
      <w:pPr>
        <w:pStyle w:val="StylSmluv2"/>
        <w:spacing w:after="120"/>
        <w:rPr>
          <w:rFonts w:cs="Calibri"/>
        </w:rPr>
      </w:pPr>
      <w:r w:rsidRPr="003074ED">
        <w:t>Smluvní</w:t>
      </w:r>
      <w:r w:rsidRPr="006D413F">
        <w:rPr>
          <w:rFonts w:cs="Calibri"/>
        </w:rPr>
        <w:t xml:space="preserve"> strany si </w:t>
      </w:r>
      <w:r>
        <w:rPr>
          <w:rFonts w:cs="Calibri"/>
        </w:rPr>
        <w:t>u</w:t>
      </w:r>
      <w:r w:rsidRPr="006D413F">
        <w:rPr>
          <w:rFonts w:cs="Calibri"/>
        </w:rPr>
        <w:t>jednávají pro případné spory z</w:t>
      </w:r>
      <w:r>
        <w:rPr>
          <w:rFonts w:cs="Calibri"/>
        </w:rPr>
        <w:t>e</w:t>
      </w:r>
      <w:r w:rsidRPr="006D413F">
        <w:rPr>
          <w:rFonts w:cs="Calibri"/>
        </w:rPr>
        <w:t xml:space="preserve"> SMLOUVY místní příslušnost soudu věcně příslušného v prvním stupni </w:t>
      </w:r>
      <w:r w:rsidR="00C66E4E">
        <w:rPr>
          <w:rFonts w:cs="Calibri"/>
        </w:rPr>
        <w:t>dle sídla KUPUJÍCÍHO.</w:t>
      </w:r>
      <w:r w:rsidRPr="006D413F">
        <w:rPr>
          <w:rFonts w:cs="Calibri"/>
        </w:rPr>
        <w:t xml:space="preserve"> Skutečnost, zda se jedná o Okresní</w:t>
      </w:r>
      <w:r w:rsidR="00C66E4E">
        <w:rPr>
          <w:rFonts w:cs="Calibri"/>
        </w:rPr>
        <w:t>/obvodní</w:t>
      </w:r>
      <w:r w:rsidRPr="006D413F">
        <w:rPr>
          <w:rFonts w:cs="Calibri"/>
        </w:rPr>
        <w:t xml:space="preserve"> soud nebo Krajský</w:t>
      </w:r>
      <w:r w:rsidR="00C66E4E">
        <w:rPr>
          <w:rFonts w:cs="Calibri"/>
        </w:rPr>
        <w:t>/Městský</w:t>
      </w:r>
      <w:r w:rsidRPr="006D413F">
        <w:rPr>
          <w:rFonts w:cs="Calibri"/>
        </w:rPr>
        <w:t xml:space="preserve"> soud bude určena na základě ustanovení právních předpisů o věcné příslušnosti, zejména zák</w:t>
      </w:r>
      <w:r>
        <w:rPr>
          <w:rFonts w:cs="Calibri"/>
        </w:rPr>
        <w:t>onem č. </w:t>
      </w:r>
      <w:r w:rsidRPr="006D413F">
        <w:rPr>
          <w:rFonts w:cs="Calibri"/>
        </w:rPr>
        <w:t>99/1963, občanského soudního řádu, v platném znění.</w:t>
      </w:r>
    </w:p>
    <w:p w:rsidR="00A9376B" w:rsidRDefault="00A9376B" w:rsidP="00A9376B">
      <w:pPr>
        <w:pStyle w:val="StylSmluv2"/>
        <w:spacing w:after="120"/>
      </w:pPr>
      <w:r>
        <w:t>S</w:t>
      </w:r>
      <w:r w:rsidRPr="0015257C">
        <w:t xml:space="preserve">mluvní strany </w:t>
      </w:r>
      <w:r>
        <w:t>si uj</w:t>
      </w:r>
      <w:r w:rsidRPr="0015257C">
        <w:t>ednávají promlčecí dobu ve vztahu k veškerým právům</w:t>
      </w:r>
      <w:r>
        <w:t xml:space="preserve"> KUPUJÍCÍHO</w:t>
      </w:r>
      <w:r w:rsidRPr="0015257C">
        <w:t xml:space="preserve"> přímo či odvozeně souvisejícím s</w:t>
      </w:r>
      <w:r>
        <w:t>e</w:t>
      </w:r>
      <w:r w:rsidRPr="0015257C">
        <w:t> </w:t>
      </w:r>
      <w:r>
        <w:t>S</w:t>
      </w:r>
      <w:r w:rsidRPr="0015257C">
        <w:t xml:space="preserve">MLOUVOU v délce </w:t>
      </w:r>
      <w:r>
        <w:t>pěti</w:t>
      </w:r>
      <w:r w:rsidRPr="0015257C">
        <w:t xml:space="preserve"> (5) let ode dne, kdy počala promlčecí doba </w:t>
      </w:r>
      <w:r>
        <w:t>běžet</w:t>
      </w:r>
      <w:r w:rsidRPr="0015257C">
        <w:t>.</w:t>
      </w:r>
    </w:p>
    <w:p w:rsidR="00A9376B" w:rsidRPr="004B5A53" w:rsidRDefault="00A9376B" w:rsidP="00A9376B">
      <w:pPr>
        <w:pStyle w:val="StylSmluv2"/>
      </w:pPr>
      <w:r w:rsidRPr="004B5A53">
        <w:t xml:space="preserve">Pro vyloučení pochybností se ujednává, že ke splnění peněžitého dluhu podle </w:t>
      </w:r>
      <w:r w:rsidR="00686C9A" w:rsidRPr="004B5A53">
        <w:t xml:space="preserve">SMLOUVY </w:t>
      </w:r>
      <w:r w:rsidRPr="004B5A53">
        <w:t xml:space="preserve">nelze použít směnku. </w:t>
      </w:r>
    </w:p>
    <w:p w:rsidR="00642C72" w:rsidRDefault="00642C72" w:rsidP="0015257C">
      <w:pPr>
        <w:pStyle w:val="StylSmluv2"/>
        <w:spacing w:after="120"/>
      </w:pPr>
      <w:r>
        <w:t>Smluvní pokuty ujednané SMLOUVOU jsou splatné den následujícího po vzniku práva na smluvní pokutu. Ujednání o smluvní pokutě se nedotýká práva na náhradu škody vzniklého z porušení téže povinnosti; poškozený má právo požadovat náhradu škody vedle smluvní pokuty i ve výši přesahující smluvní pokutu.</w:t>
      </w:r>
    </w:p>
    <w:p w:rsidR="00B4324E" w:rsidRPr="0055579A" w:rsidRDefault="00B4324E" w:rsidP="00B4324E">
      <w:pPr>
        <w:pStyle w:val="StylSmluv2"/>
        <w:spacing w:after="120"/>
        <w:rPr>
          <w:rFonts w:cs="Calibri"/>
        </w:rPr>
      </w:pPr>
      <w:r>
        <w:lastRenderedPageBreak/>
        <w:t xml:space="preserve">Smluvní strany výslovně konstatují a sjednávají, že </w:t>
      </w:r>
      <w:r w:rsidRPr="00037896">
        <w:t xml:space="preserve">PRODÁVAJÍCÍ </w:t>
      </w:r>
      <w:r>
        <w:t xml:space="preserve">je ve smyslu ustanovení § 2 písm. e) zákona č. 320/2001 Sb., o finanční kontrole, </w:t>
      </w:r>
      <w:r w:rsidRPr="00215E26">
        <w:t>osobou povinnou spolupůsob</w:t>
      </w:r>
      <w:r>
        <w:t>it při výkonu finanční kontroly.</w:t>
      </w:r>
    </w:p>
    <w:p w:rsidR="00B4324E" w:rsidRDefault="00B4324E" w:rsidP="00B4324E">
      <w:pPr>
        <w:pStyle w:val="StylSmluv2"/>
        <w:spacing w:after="120"/>
      </w:pPr>
      <w:r w:rsidRPr="00037896">
        <w:t xml:space="preserve">PRODÁVAJÍCÍ </w:t>
      </w:r>
      <w:r>
        <w:t>je povinen archivovat veškeré dokumenty související s touto S</w:t>
      </w:r>
      <w:r w:rsidRPr="006F065B">
        <w:t xml:space="preserve">MLOUVOU </w:t>
      </w:r>
      <w:r>
        <w:t xml:space="preserve">a/nebo plněním dle této SMLOUVY, a to nejméně po dobu 10 let od dne </w:t>
      </w:r>
      <w:r w:rsidRPr="00CA2BCF">
        <w:t>skončení plnění zakázky</w:t>
      </w:r>
      <w:r>
        <w:t xml:space="preserve"> dle této SMLOUVY.</w:t>
      </w:r>
    </w:p>
    <w:p w:rsidR="006B7638" w:rsidRPr="007412E1" w:rsidRDefault="006B7638" w:rsidP="006B7638">
      <w:pPr>
        <w:pStyle w:val="StylSmluv2"/>
        <w:spacing w:after="120"/>
      </w:pPr>
      <w:r w:rsidRPr="007412E1">
        <w:t>Případné změ</w:t>
      </w:r>
      <w:r>
        <w:t xml:space="preserve">ny či doplňky </w:t>
      </w:r>
      <w:r w:rsidRPr="007412E1">
        <w:t>SMLOUVY mohou být uzavřeny pouze písemnou formou</w:t>
      </w:r>
      <w:r>
        <w:t>.</w:t>
      </w:r>
    </w:p>
    <w:p w:rsidR="006B7638" w:rsidRDefault="006B7638" w:rsidP="006B7638">
      <w:pPr>
        <w:pStyle w:val="StylSmluv2"/>
        <w:spacing w:after="120"/>
      </w:pPr>
      <w:r w:rsidRPr="007412E1">
        <w:t xml:space="preserve">SMLOUVA byla sepsána ve </w:t>
      </w:r>
      <w:r>
        <w:t>dvou</w:t>
      </w:r>
      <w:r w:rsidRPr="007412E1">
        <w:t xml:space="preserve"> (</w:t>
      </w:r>
      <w:r>
        <w:t>2</w:t>
      </w:r>
      <w:r w:rsidRPr="007412E1">
        <w:t xml:space="preserve">) </w:t>
      </w:r>
      <w:r>
        <w:t>stejnopisech</w:t>
      </w:r>
      <w:r w:rsidRPr="007412E1">
        <w:t xml:space="preserve">, z nichž </w:t>
      </w:r>
      <w:r>
        <w:t>každá smluvní strana</w:t>
      </w:r>
      <w:r w:rsidRPr="007412E1">
        <w:t xml:space="preserve"> obdrží po </w:t>
      </w:r>
      <w:r w:rsidRPr="00431716">
        <w:t xml:space="preserve">jednom (1) stejnopise. </w:t>
      </w:r>
    </w:p>
    <w:p w:rsidR="00A9376B" w:rsidRDefault="00A9376B" w:rsidP="00A9376B">
      <w:pPr>
        <w:pStyle w:val="StylSmluv2"/>
        <w:spacing w:after="120"/>
        <w:rPr>
          <w:rFonts w:cs="Calibri"/>
        </w:rPr>
      </w:pPr>
      <w:r>
        <w:rPr>
          <w:rFonts w:cs="Calibri"/>
        </w:rPr>
        <w:t>Nedílnou součástí SMLOUVY jsou následující přílohy:</w:t>
      </w:r>
    </w:p>
    <w:p w:rsidR="00A9376B" w:rsidRPr="00B4324E" w:rsidRDefault="00A9376B" w:rsidP="00A9376B">
      <w:pPr>
        <w:numPr>
          <w:ilvl w:val="0"/>
          <w:numId w:val="19"/>
        </w:numPr>
        <w:suppressAutoHyphens/>
        <w:spacing w:after="0" w:line="240" w:lineRule="auto"/>
      </w:pPr>
      <w:r w:rsidRPr="002543DC">
        <w:rPr>
          <w:rFonts w:ascii="Calibri" w:hAnsi="Calibri"/>
        </w:rPr>
        <w:t xml:space="preserve">Příloha č. 1 – </w:t>
      </w:r>
      <w:r w:rsidR="00F71F88">
        <w:rPr>
          <w:rFonts w:ascii="Calibri" w:hAnsi="Calibri"/>
        </w:rPr>
        <w:t>výzva k podání nabídky</w:t>
      </w:r>
      <w:r w:rsidR="00B4324E">
        <w:rPr>
          <w:rFonts w:ascii="Calibri" w:hAnsi="Calibri"/>
        </w:rPr>
        <w:t xml:space="preserve"> </w:t>
      </w:r>
    </w:p>
    <w:p w:rsidR="00B4324E" w:rsidRPr="00B4324E" w:rsidRDefault="00B4324E" w:rsidP="00B4324E">
      <w:pPr>
        <w:numPr>
          <w:ilvl w:val="0"/>
          <w:numId w:val="19"/>
        </w:numPr>
        <w:suppressAutoHyphens/>
        <w:spacing w:after="0" w:line="240" w:lineRule="auto"/>
      </w:pPr>
      <w:r>
        <w:rPr>
          <w:rFonts w:ascii="Calibri" w:hAnsi="Calibri"/>
        </w:rPr>
        <w:t>Příloha č. 2</w:t>
      </w:r>
      <w:r w:rsidRPr="002543DC">
        <w:rPr>
          <w:rFonts w:ascii="Calibri" w:hAnsi="Calibri"/>
        </w:rPr>
        <w:t xml:space="preserve"> – </w:t>
      </w:r>
      <w:r>
        <w:rPr>
          <w:rFonts w:ascii="Calibri" w:hAnsi="Calibri"/>
        </w:rPr>
        <w:t>nabídka PRODÁVAJÍCÍHO</w:t>
      </w:r>
    </w:p>
    <w:p w:rsidR="00B4324E" w:rsidRPr="00D9016E" w:rsidRDefault="00B4324E" w:rsidP="00B4324E">
      <w:pPr>
        <w:pStyle w:val="StylSmluv2"/>
        <w:numPr>
          <w:ilvl w:val="0"/>
          <w:numId w:val="0"/>
        </w:numPr>
        <w:spacing w:after="120"/>
        <w:ind w:left="567"/>
        <w:rPr>
          <w:rFonts w:cs="Calibri"/>
        </w:rPr>
      </w:pPr>
      <w:r w:rsidRPr="00D9016E">
        <w:rPr>
          <w:rFonts w:cs="Calibri"/>
        </w:rPr>
        <w:t xml:space="preserve">V případě rozporu mezi </w:t>
      </w:r>
      <w:r>
        <w:t xml:space="preserve">SMLOUVOU </w:t>
      </w:r>
      <w:r w:rsidRPr="00D9016E">
        <w:rPr>
          <w:rFonts w:cs="Calibri"/>
        </w:rPr>
        <w:t xml:space="preserve">a přílohami, má přednost </w:t>
      </w:r>
      <w:r>
        <w:t>SMLOUVA</w:t>
      </w:r>
      <w:r w:rsidRPr="00D9016E">
        <w:rPr>
          <w:rFonts w:cs="Calibri"/>
        </w:rPr>
        <w:t xml:space="preserve">. V případě rozporu mezi jednotlivými přílohami </w:t>
      </w:r>
      <w:r>
        <w:t>SMLOUVY</w:t>
      </w:r>
      <w:r w:rsidRPr="00D9016E">
        <w:rPr>
          <w:rFonts w:cs="Calibri"/>
        </w:rPr>
        <w:t>, je vždy zá</w:t>
      </w:r>
      <w:r>
        <w:rPr>
          <w:rFonts w:cs="Calibri"/>
        </w:rPr>
        <w:t>vazný text té přílohy, která má nižší pořadové číslo</w:t>
      </w:r>
      <w:r w:rsidRPr="00D9016E">
        <w:rPr>
          <w:rFonts w:cs="Calibri"/>
        </w:rPr>
        <w:t>.</w:t>
      </w:r>
      <w:bookmarkStart w:id="1" w:name="_GoBack"/>
      <w:bookmarkEnd w:id="1"/>
    </w:p>
    <w:p w:rsidR="00DC7720" w:rsidRDefault="00DC7720" w:rsidP="00DC7720">
      <w:pPr>
        <w:pStyle w:val="StylSmluv2"/>
      </w:pPr>
      <w:r w:rsidRPr="004B5A53">
        <w:t>S</w:t>
      </w:r>
      <w:r w:rsidR="006B7638">
        <w:t>mluvní strany prohlašují, že</w:t>
      </w:r>
      <w:r w:rsidRPr="004B5A53">
        <w:t xml:space="preserve"> </w:t>
      </w:r>
      <w:r w:rsidR="006B7638" w:rsidRPr="004B5A53">
        <w:t xml:space="preserve">SMLOUVU </w:t>
      </w:r>
      <w:r w:rsidRPr="004B5A53">
        <w:t xml:space="preserve">uzavřely na základě své svobodné a vážné vůle, </w:t>
      </w:r>
      <w:r w:rsidRPr="00C90347">
        <w:t xml:space="preserve">že si </w:t>
      </w:r>
      <w:r w:rsidR="006B7638" w:rsidRPr="00C90347">
        <w:t xml:space="preserve">SMLOUVU </w:t>
      </w:r>
      <w:r w:rsidRPr="00C90347">
        <w:t>přečetly, porozuměly zcela jejímu obsahu a na důkaz toho níže připojují své podpisy.</w:t>
      </w:r>
    </w:p>
    <w:p w:rsidR="0092215E" w:rsidRPr="00C90347" w:rsidRDefault="0092215E" w:rsidP="0092215E">
      <w:pPr>
        <w:pStyle w:val="StylSmluv2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92215E" w:rsidTr="0092215E">
        <w:trPr>
          <w:trHeight w:val="1335"/>
        </w:trPr>
        <w:tc>
          <w:tcPr>
            <w:tcW w:w="2578" w:type="pct"/>
          </w:tcPr>
          <w:p w:rsidR="0092215E" w:rsidRDefault="0092215E" w:rsidP="0092215E">
            <w:pPr>
              <w:pStyle w:val="odst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AF1C98">
              <w:rPr>
                <w:rFonts w:ascii="Calibri" w:hAnsi="Calibri"/>
                <w:sz w:val="22"/>
                <w:szCs w:val="22"/>
              </w:rPr>
              <w:t>V ______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AF1C98">
              <w:rPr>
                <w:rFonts w:ascii="Calibri" w:hAnsi="Calibri"/>
                <w:sz w:val="22"/>
                <w:szCs w:val="22"/>
              </w:rPr>
              <w:t>__ dne ____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AF1C98">
              <w:rPr>
                <w:rFonts w:ascii="Calibri" w:hAnsi="Calibri"/>
                <w:sz w:val="22"/>
                <w:szCs w:val="22"/>
              </w:rPr>
              <w:t>___</w:t>
            </w:r>
          </w:p>
        </w:tc>
        <w:tc>
          <w:tcPr>
            <w:tcW w:w="2422" w:type="pct"/>
          </w:tcPr>
          <w:p w:rsidR="0092215E" w:rsidRDefault="0092215E" w:rsidP="0092215E">
            <w:pPr>
              <w:pStyle w:val="odst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AF1C98"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AF1C98">
              <w:rPr>
                <w:rFonts w:ascii="Calibri" w:hAnsi="Calibri"/>
                <w:sz w:val="22"/>
                <w:szCs w:val="22"/>
              </w:rPr>
              <w:t xml:space="preserve"> dne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2215E" w:rsidTr="0092215E">
        <w:tc>
          <w:tcPr>
            <w:tcW w:w="2578" w:type="pct"/>
            <w:vAlign w:val="center"/>
          </w:tcPr>
          <w:p w:rsidR="0092215E" w:rsidRDefault="0092215E" w:rsidP="0092215E">
            <w:pPr>
              <w:pStyle w:val="odst"/>
              <w:spacing w:before="24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2215E">
              <w:rPr>
                <w:rFonts w:asciiTheme="minorHAnsi" w:hAnsiTheme="minorHAnsi"/>
                <w:b/>
                <w:sz w:val="22"/>
                <w:szCs w:val="22"/>
              </w:rPr>
              <w:t>Střední odborn</w:t>
            </w:r>
            <w:r w:rsidRPr="0092215E">
              <w:rPr>
                <w:rFonts w:asciiTheme="minorHAnsi" w:hAnsiTheme="minorHAnsi"/>
                <w:b/>
                <w:sz w:val="22"/>
                <w:szCs w:val="22"/>
              </w:rPr>
              <w:t xml:space="preserve">é učiliště a Praktická škola </w:t>
            </w:r>
          </w:p>
          <w:p w:rsidR="0092215E" w:rsidRPr="0092215E" w:rsidRDefault="0092215E" w:rsidP="0092215E">
            <w:pPr>
              <w:pStyle w:val="odst"/>
              <w:spacing w:before="24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2215E">
              <w:rPr>
                <w:rFonts w:asciiTheme="minorHAnsi" w:hAnsiTheme="minorHAnsi"/>
                <w:b/>
                <w:sz w:val="22"/>
                <w:szCs w:val="22"/>
              </w:rPr>
              <w:t xml:space="preserve">Kladno – </w:t>
            </w:r>
            <w:proofErr w:type="spellStart"/>
            <w:r w:rsidRPr="0092215E">
              <w:rPr>
                <w:rFonts w:asciiTheme="minorHAnsi" w:hAnsiTheme="minorHAnsi"/>
                <w:b/>
                <w:sz w:val="22"/>
                <w:szCs w:val="22"/>
              </w:rPr>
              <w:t>Vrapice</w:t>
            </w:r>
            <w:proofErr w:type="spellEnd"/>
            <w:r w:rsidRPr="0092215E">
              <w:rPr>
                <w:rFonts w:asciiTheme="minorHAnsi" w:hAnsiTheme="minorHAnsi"/>
                <w:b/>
                <w:sz w:val="22"/>
                <w:szCs w:val="22"/>
              </w:rPr>
              <w:t>, příspěvková organizace</w:t>
            </w:r>
          </w:p>
        </w:tc>
        <w:tc>
          <w:tcPr>
            <w:tcW w:w="2422" w:type="pct"/>
          </w:tcPr>
          <w:p w:rsidR="0092215E" w:rsidRPr="0092215E" w:rsidRDefault="0092215E" w:rsidP="0092215E">
            <w:pPr>
              <w:pStyle w:val="odst"/>
              <w:spacing w:before="240" w:after="60"/>
              <w:rPr>
                <w:rFonts w:ascii="Calibri" w:hAnsi="Calibri"/>
                <w:b/>
                <w:sz w:val="22"/>
                <w:szCs w:val="22"/>
              </w:rPr>
            </w:pPr>
            <w:r w:rsidRPr="0092215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215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2215E">
              <w:rPr>
                <w:rFonts w:ascii="Calibri" w:hAnsi="Calibri"/>
                <w:b/>
                <w:sz w:val="22"/>
                <w:szCs w:val="22"/>
              </w:rPr>
            </w:r>
            <w:r w:rsidRPr="0092215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2215E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15E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15E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15E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15E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15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92215E" w:rsidTr="0092215E">
        <w:tc>
          <w:tcPr>
            <w:tcW w:w="2578" w:type="pct"/>
          </w:tcPr>
          <w:p w:rsidR="0092215E" w:rsidRDefault="0092215E" w:rsidP="0092215E">
            <w:pPr>
              <w:pStyle w:val="odst"/>
              <w:spacing w:before="480" w:after="0"/>
              <w:ind w:left="1248" w:hanging="624"/>
              <w:rPr>
                <w:rFonts w:ascii="Calibri" w:hAnsi="Calibri"/>
                <w:sz w:val="22"/>
                <w:szCs w:val="22"/>
              </w:rPr>
            </w:pPr>
            <w:r w:rsidRPr="00250A06">
              <w:rPr>
                <w:rFonts w:ascii="Calibri" w:hAnsi="Calibri" w:cs="Calibri"/>
                <w:sz w:val="22"/>
                <w:szCs w:val="22"/>
              </w:rPr>
              <w:t>______________________</w:t>
            </w:r>
            <w:r w:rsidRPr="00250A06">
              <w:rPr>
                <w:rFonts w:ascii="Calibri" w:hAnsi="Calibri" w:cs="Calibri"/>
                <w:sz w:val="22"/>
                <w:szCs w:val="22"/>
              </w:rPr>
              <w:tab/>
            </w:r>
            <w:r w:rsidRPr="00250A06">
              <w:rPr>
                <w:rFonts w:ascii="Calibri" w:hAnsi="Calibri" w:cs="Calibri"/>
                <w:sz w:val="22"/>
                <w:szCs w:val="22"/>
              </w:rPr>
              <w:tab/>
            </w:r>
            <w:r w:rsidRPr="00250A06">
              <w:rPr>
                <w:rFonts w:ascii="Calibri" w:hAnsi="Calibri" w:cs="Calibri"/>
                <w:sz w:val="22"/>
                <w:szCs w:val="22"/>
              </w:rPr>
              <w:tab/>
            </w:r>
            <w:r w:rsidRPr="00250A06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422" w:type="pct"/>
            <w:vAlign w:val="center"/>
          </w:tcPr>
          <w:p w:rsidR="0092215E" w:rsidRDefault="0092215E" w:rsidP="0092215E">
            <w:pPr>
              <w:pStyle w:val="odst"/>
              <w:spacing w:before="24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0A06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</w:tc>
      </w:tr>
      <w:tr w:rsidR="0092215E" w:rsidTr="0092215E">
        <w:tc>
          <w:tcPr>
            <w:tcW w:w="2578" w:type="pct"/>
          </w:tcPr>
          <w:p w:rsidR="0092215E" w:rsidRDefault="0092215E" w:rsidP="0092215E">
            <w:pPr>
              <w:pStyle w:val="odst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250A06">
              <w:rPr>
                <w:rFonts w:asciiTheme="minorHAnsi" w:hAnsiTheme="minorHAnsi"/>
                <w:sz w:val="22"/>
                <w:szCs w:val="22"/>
              </w:rPr>
              <w:t>Mgr. I</w:t>
            </w:r>
            <w:r>
              <w:rPr>
                <w:rFonts w:asciiTheme="minorHAnsi" w:hAnsiTheme="minorHAnsi"/>
                <w:sz w:val="22"/>
                <w:szCs w:val="22"/>
              </w:rPr>
              <w:t>vana Sedláková, ředitelka školy</w:t>
            </w:r>
          </w:p>
        </w:tc>
        <w:tc>
          <w:tcPr>
            <w:tcW w:w="2422" w:type="pct"/>
          </w:tcPr>
          <w:p w:rsidR="0092215E" w:rsidRDefault="0092215E" w:rsidP="0092215E">
            <w:pPr>
              <w:pStyle w:val="odst"/>
              <w:spacing w:before="24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2215E" w:rsidTr="0092215E">
        <w:tc>
          <w:tcPr>
            <w:tcW w:w="2578" w:type="pct"/>
          </w:tcPr>
          <w:p w:rsidR="0092215E" w:rsidRPr="00250A06" w:rsidRDefault="0092215E" w:rsidP="0092215E">
            <w:pPr>
              <w:pStyle w:val="odst"/>
              <w:spacing w:before="24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KUPUJÍCÍ</w:t>
            </w:r>
            <w:r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2422" w:type="pct"/>
          </w:tcPr>
          <w:p w:rsidR="0092215E" w:rsidRDefault="0092215E" w:rsidP="0092215E">
            <w:pPr>
              <w:pStyle w:val="odst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C2590E">
              <w:rPr>
                <w:rFonts w:asciiTheme="minorHAnsi" w:hAnsiTheme="minorHAnsi"/>
                <w:b/>
                <w:sz w:val="22"/>
              </w:rPr>
              <w:t>PRODÁVAJÍCÍ</w:t>
            </w:r>
          </w:p>
        </w:tc>
      </w:tr>
    </w:tbl>
    <w:p w:rsidR="0092215E" w:rsidRDefault="0092215E" w:rsidP="0092215E">
      <w:pPr>
        <w:pStyle w:val="odst"/>
        <w:spacing w:before="240" w:after="60"/>
        <w:ind w:left="1248" w:hanging="624"/>
        <w:rPr>
          <w:rFonts w:ascii="Calibri" w:hAnsi="Calibri"/>
          <w:sz w:val="22"/>
          <w:szCs w:val="22"/>
        </w:rPr>
      </w:pPr>
    </w:p>
    <w:p w:rsidR="0092215E" w:rsidRDefault="0092215E" w:rsidP="0092215E">
      <w:pPr>
        <w:pStyle w:val="odst"/>
        <w:spacing w:before="240" w:after="60"/>
        <w:ind w:left="1248" w:hanging="624"/>
        <w:rPr>
          <w:rFonts w:ascii="Calibri" w:hAnsi="Calibri"/>
          <w:sz w:val="22"/>
          <w:szCs w:val="22"/>
        </w:rPr>
      </w:pPr>
    </w:p>
    <w:p w:rsidR="0092215E" w:rsidRDefault="0092215E" w:rsidP="0092215E">
      <w:pPr>
        <w:pStyle w:val="odst"/>
        <w:spacing w:before="240" w:after="60"/>
        <w:ind w:left="1248" w:hanging="624"/>
        <w:rPr>
          <w:rFonts w:ascii="Calibri" w:hAnsi="Calibri"/>
          <w:sz w:val="22"/>
          <w:szCs w:val="22"/>
        </w:rPr>
      </w:pPr>
    </w:p>
    <w:p w:rsidR="0092215E" w:rsidRDefault="0092215E" w:rsidP="0092215E">
      <w:pPr>
        <w:pStyle w:val="odst"/>
        <w:spacing w:before="240" w:after="60"/>
        <w:ind w:left="1248" w:hanging="624"/>
        <w:rPr>
          <w:rFonts w:ascii="Calibri" w:hAnsi="Calibri"/>
          <w:sz w:val="22"/>
          <w:szCs w:val="22"/>
        </w:rPr>
      </w:pPr>
    </w:p>
    <w:p w:rsidR="0092215E" w:rsidRDefault="0092215E" w:rsidP="0092215E">
      <w:pPr>
        <w:pStyle w:val="odst"/>
        <w:spacing w:before="240" w:after="60"/>
        <w:ind w:left="1248" w:hanging="6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B7638" w:rsidRDefault="006B7638" w:rsidP="006767D0">
      <w:pPr>
        <w:pStyle w:val="odst"/>
        <w:spacing w:before="240" w:after="60"/>
        <w:ind w:left="1248" w:hanging="624"/>
        <w:rPr>
          <w:rFonts w:ascii="Calibri" w:hAnsi="Calibri"/>
          <w:sz w:val="22"/>
          <w:szCs w:val="22"/>
        </w:rPr>
      </w:pPr>
    </w:p>
    <w:sectPr w:rsidR="006B7638" w:rsidSect="002417C2">
      <w:footerReference w:type="default" r:id="rId8"/>
      <w:type w:val="continuous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16" w:rsidRDefault="00D74516" w:rsidP="005A54C9">
      <w:pPr>
        <w:spacing w:after="0" w:line="240" w:lineRule="auto"/>
      </w:pPr>
      <w:r>
        <w:separator/>
      </w:r>
    </w:p>
  </w:endnote>
  <w:endnote w:type="continuationSeparator" w:id="0">
    <w:p w:rsidR="00D74516" w:rsidRDefault="00D74516" w:rsidP="005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41770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17668510"/>
          <w:docPartObj>
            <w:docPartGallery w:val="Page Numbers (Top of Page)"/>
            <w:docPartUnique/>
          </w:docPartObj>
        </w:sdtPr>
        <w:sdtEndPr/>
        <w:sdtContent>
          <w:p w:rsidR="005A54C9" w:rsidRPr="005A54C9" w:rsidRDefault="005A54C9" w:rsidP="005A54C9">
            <w:pPr>
              <w:pStyle w:val="Zpat"/>
              <w:jc w:val="center"/>
              <w:rPr>
                <w:sz w:val="16"/>
                <w:szCs w:val="16"/>
              </w:rPr>
            </w:pPr>
            <w:r w:rsidRPr="005A54C9">
              <w:rPr>
                <w:sz w:val="16"/>
                <w:szCs w:val="16"/>
              </w:rPr>
              <w:t xml:space="preserve">Stránka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PAGE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92215E">
              <w:rPr>
                <w:b/>
                <w:bCs/>
                <w:noProof/>
                <w:sz w:val="16"/>
                <w:szCs w:val="16"/>
              </w:rPr>
              <w:t>5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  <w:r w:rsidRPr="005A54C9">
              <w:rPr>
                <w:sz w:val="16"/>
                <w:szCs w:val="16"/>
              </w:rPr>
              <w:t xml:space="preserve"> z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NUMPAGES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92215E">
              <w:rPr>
                <w:b/>
                <w:bCs/>
                <w:noProof/>
                <w:sz w:val="16"/>
                <w:szCs w:val="16"/>
              </w:rPr>
              <w:t>5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A54C9" w:rsidRPr="005A54C9" w:rsidRDefault="005A54C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16" w:rsidRDefault="00D74516" w:rsidP="005A54C9">
      <w:pPr>
        <w:spacing w:after="0" w:line="240" w:lineRule="auto"/>
      </w:pPr>
      <w:r>
        <w:separator/>
      </w:r>
    </w:p>
  </w:footnote>
  <w:footnote w:type="continuationSeparator" w:id="0">
    <w:p w:rsidR="00D74516" w:rsidRDefault="00D74516" w:rsidP="005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BB9"/>
    <w:multiLevelType w:val="multilevel"/>
    <w:tmpl w:val="2A42902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CB3B50"/>
    <w:multiLevelType w:val="multilevel"/>
    <w:tmpl w:val="D9122B6C"/>
    <w:lvl w:ilvl="0">
      <w:start w:val="1"/>
      <w:numFmt w:val="decimal"/>
      <w:pStyle w:val="Nadpis2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547C2D"/>
    <w:multiLevelType w:val="multilevel"/>
    <w:tmpl w:val="5980F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31009"/>
    <w:multiLevelType w:val="multilevel"/>
    <w:tmpl w:val="057CE13C"/>
    <w:lvl w:ilvl="0">
      <w:start w:val="1"/>
      <w:numFmt w:val="upperRoman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0B48C8"/>
    <w:multiLevelType w:val="hybridMultilevel"/>
    <w:tmpl w:val="0FF462F2"/>
    <w:lvl w:ilvl="0" w:tplc="7496FE1A">
      <w:start w:val="1"/>
      <w:numFmt w:val="lowerLetter"/>
      <w:lvlText w:val="(%1)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D258E1"/>
    <w:multiLevelType w:val="hybridMultilevel"/>
    <w:tmpl w:val="1BEE00D2"/>
    <w:lvl w:ilvl="0" w:tplc="8586C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2A8"/>
    <w:multiLevelType w:val="hybridMultilevel"/>
    <w:tmpl w:val="5CEA0D7E"/>
    <w:lvl w:ilvl="0" w:tplc="0FCE9ED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F30E4"/>
    <w:multiLevelType w:val="multilevel"/>
    <w:tmpl w:val="B330A4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86C6511"/>
    <w:multiLevelType w:val="singleLevel"/>
    <w:tmpl w:val="E382B5A2"/>
    <w:lvl w:ilvl="0">
      <w:start w:val="1"/>
      <w:numFmt w:val="bullet"/>
      <w:pStyle w:val="BPAOdrky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5C4A4039"/>
    <w:multiLevelType w:val="multilevel"/>
    <w:tmpl w:val="3656D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EF0431"/>
    <w:multiLevelType w:val="multilevel"/>
    <w:tmpl w:val="4BFC534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E0C3F5F"/>
    <w:multiLevelType w:val="multilevel"/>
    <w:tmpl w:val="CEA40EF0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D4B17A9"/>
    <w:multiLevelType w:val="multilevel"/>
    <w:tmpl w:val="12246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1"/>
  </w:num>
  <w:num w:numId="7">
    <w:abstractNumId w:val="11"/>
  </w:num>
  <w:num w:numId="8">
    <w:abstractNumId w:val="13"/>
  </w:num>
  <w:num w:numId="9">
    <w:abstractNumId w:val="2"/>
  </w:num>
  <w:num w:numId="10">
    <w:abstractNumId w:val="11"/>
  </w:num>
  <w:num w:numId="11">
    <w:abstractNumId w:val="11"/>
  </w:num>
  <w:num w:numId="12">
    <w:abstractNumId w:val="7"/>
  </w:num>
  <w:num w:numId="13">
    <w:abstractNumId w:val="10"/>
  </w:num>
  <w:num w:numId="14">
    <w:abstractNumId w:val="11"/>
  </w:num>
  <w:num w:numId="15">
    <w:abstractNumId w:val="11"/>
  </w:num>
  <w:num w:numId="16">
    <w:abstractNumId w:val="6"/>
  </w:num>
  <w:num w:numId="17">
    <w:abstractNumId w:val="3"/>
  </w:num>
  <w:num w:numId="18">
    <w:abstractNumId w:val="11"/>
  </w:num>
  <w:num w:numId="19">
    <w:abstractNumId w:val="4"/>
  </w:num>
  <w:num w:numId="20">
    <w:abstractNumId w:val="11"/>
  </w:num>
  <w:num w:numId="21">
    <w:abstractNumId w:val="8"/>
  </w:num>
  <w:num w:numId="22">
    <w:abstractNumId w:val="12"/>
  </w:num>
  <w:num w:numId="23">
    <w:abstractNumId w:val="11"/>
  </w:num>
  <w:num w:numId="24">
    <w:abstractNumId w:val="5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5"/>
    <w:rsid w:val="0000399F"/>
    <w:rsid w:val="00011F8A"/>
    <w:rsid w:val="000176BF"/>
    <w:rsid w:val="000305BD"/>
    <w:rsid w:val="00032414"/>
    <w:rsid w:val="00041095"/>
    <w:rsid w:val="000A4F4A"/>
    <w:rsid w:val="000A781D"/>
    <w:rsid w:val="000C35DF"/>
    <w:rsid w:val="000C3806"/>
    <w:rsid w:val="000C6037"/>
    <w:rsid w:val="000F750C"/>
    <w:rsid w:val="0010112D"/>
    <w:rsid w:val="00103B38"/>
    <w:rsid w:val="00131BA2"/>
    <w:rsid w:val="00140CFE"/>
    <w:rsid w:val="00141DD3"/>
    <w:rsid w:val="0015257C"/>
    <w:rsid w:val="00161651"/>
    <w:rsid w:val="00171759"/>
    <w:rsid w:val="00172960"/>
    <w:rsid w:val="001776AF"/>
    <w:rsid w:val="001813DD"/>
    <w:rsid w:val="0019299E"/>
    <w:rsid w:val="00194279"/>
    <w:rsid w:val="00196733"/>
    <w:rsid w:val="001B3565"/>
    <w:rsid w:val="001B3FB8"/>
    <w:rsid w:val="001D22D3"/>
    <w:rsid w:val="001E5D4C"/>
    <w:rsid w:val="0022006A"/>
    <w:rsid w:val="0023467B"/>
    <w:rsid w:val="002417C2"/>
    <w:rsid w:val="002417CD"/>
    <w:rsid w:val="00250A06"/>
    <w:rsid w:val="0026548C"/>
    <w:rsid w:val="002874F7"/>
    <w:rsid w:val="002A2FD5"/>
    <w:rsid w:val="002C5F0E"/>
    <w:rsid w:val="002D14AF"/>
    <w:rsid w:val="002D5354"/>
    <w:rsid w:val="002D7BF1"/>
    <w:rsid w:val="002E726C"/>
    <w:rsid w:val="002E7D1F"/>
    <w:rsid w:val="003074ED"/>
    <w:rsid w:val="003222CA"/>
    <w:rsid w:val="003243D0"/>
    <w:rsid w:val="00332048"/>
    <w:rsid w:val="00344A44"/>
    <w:rsid w:val="00352558"/>
    <w:rsid w:val="00366A1E"/>
    <w:rsid w:val="003811A8"/>
    <w:rsid w:val="00387E7A"/>
    <w:rsid w:val="003C32F1"/>
    <w:rsid w:val="003C422F"/>
    <w:rsid w:val="003C7FE6"/>
    <w:rsid w:val="003D2E30"/>
    <w:rsid w:val="00404C2A"/>
    <w:rsid w:val="00430CA8"/>
    <w:rsid w:val="00430E96"/>
    <w:rsid w:val="004327C5"/>
    <w:rsid w:val="00450780"/>
    <w:rsid w:val="00490EA0"/>
    <w:rsid w:val="004C2FD7"/>
    <w:rsid w:val="004C3310"/>
    <w:rsid w:val="004C36EA"/>
    <w:rsid w:val="004C576E"/>
    <w:rsid w:val="004D391F"/>
    <w:rsid w:val="004E756C"/>
    <w:rsid w:val="0052635E"/>
    <w:rsid w:val="0053490B"/>
    <w:rsid w:val="00557801"/>
    <w:rsid w:val="00573A42"/>
    <w:rsid w:val="00574484"/>
    <w:rsid w:val="005852FE"/>
    <w:rsid w:val="005A0C6F"/>
    <w:rsid w:val="005A2916"/>
    <w:rsid w:val="005A54C9"/>
    <w:rsid w:val="005D6BB8"/>
    <w:rsid w:val="005E3816"/>
    <w:rsid w:val="00642C72"/>
    <w:rsid w:val="006502A4"/>
    <w:rsid w:val="0065562D"/>
    <w:rsid w:val="00665C71"/>
    <w:rsid w:val="006767D0"/>
    <w:rsid w:val="00686C9A"/>
    <w:rsid w:val="006A59A9"/>
    <w:rsid w:val="006B7638"/>
    <w:rsid w:val="006E2B41"/>
    <w:rsid w:val="006F5743"/>
    <w:rsid w:val="0070272D"/>
    <w:rsid w:val="00711AD5"/>
    <w:rsid w:val="007126EC"/>
    <w:rsid w:val="00716FBF"/>
    <w:rsid w:val="00730F40"/>
    <w:rsid w:val="00732A1C"/>
    <w:rsid w:val="00740B5F"/>
    <w:rsid w:val="00744EBF"/>
    <w:rsid w:val="00751F16"/>
    <w:rsid w:val="00757848"/>
    <w:rsid w:val="00797014"/>
    <w:rsid w:val="007C79F5"/>
    <w:rsid w:val="007E374B"/>
    <w:rsid w:val="007E6135"/>
    <w:rsid w:val="007E76D2"/>
    <w:rsid w:val="007F40FA"/>
    <w:rsid w:val="00820902"/>
    <w:rsid w:val="00824FE0"/>
    <w:rsid w:val="00834C89"/>
    <w:rsid w:val="008512F8"/>
    <w:rsid w:val="008556F3"/>
    <w:rsid w:val="00855B67"/>
    <w:rsid w:val="008817A6"/>
    <w:rsid w:val="008834C4"/>
    <w:rsid w:val="00895F6B"/>
    <w:rsid w:val="0089788C"/>
    <w:rsid w:val="008D07C7"/>
    <w:rsid w:val="008D3BFB"/>
    <w:rsid w:val="008F226D"/>
    <w:rsid w:val="0092215E"/>
    <w:rsid w:val="00924D08"/>
    <w:rsid w:val="00941D1A"/>
    <w:rsid w:val="00944DCC"/>
    <w:rsid w:val="0094512B"/>
    <w:rsid w:val="00960EE7"/>
    <w:rsid w:val="00984F3B"/>
    <w:rsid w:val="0099119F"/>
    <w:rsid w:val="0099191A"/>
    <w:rsid w:val="00993E7D"/>
    <w:rsid w:val="009A0D69"/>
    <w:rsid w:val="009C3BBD"/>
    <w:rsid w:val="009D2A8C"/>
    <w:rsid w:val="009D75AC"/>
    <w:rsid w:val="00A05221"/>
    <w:rsid w:val="00A20C17"/>
    <w:rsid w:val="00A468D3"/>
    <w:rsid w:val="00A55D93"/>
    <w:rsid w:val="00A75986"/>
    <w:rsid w:val="00A82366"/>
    <w:rsid w:val="00A83019"/>
    <w:rsid w:val="00A86CF0"/>
    <w:rsid w:val="00A9376B"/>
    <w:rsid w:val="00AA5217"/>
    <w:rsid w:val="00AC436C"/>
    <w:rsid w:val="00AC48A2"/>
    <w:rsid w:val="00AD0E32"/>
    <w:rsid w:val="00AD4C46"/>
    <w:rsid w:val="00AF4E11"/>
    <w:rsid w:val="00AF73CC"/>
    <w:rsid w:val="00B051CA"/>
    <w:rsid w:val="00B248A3"/>
    <w:rsid w:val="00B26EBE"/>
    <w:rsid w:val="00B30D6A"/>
    <w:rsid w:val="00B42DAF"/>
    <w:rsid w:val="00B4324E"/>
    <w:rsid w:val="00B60E61"/>
    <w:rsid w:val="00B66D04"/>
    <w:rsid w:val="00B67736"/>
    <w:rsid w:val="00B67BB0"/>
    <w:rsid w:val="00B74894"/>
    <w:rsid w:val="00B75B75"/>
    <w:rsid w:val="00B84E6B"/>
    <w:rsid w:val="00B85C36"/>
    <w:rsid w:val="00BD435E"/>
    <w:rsid w:val="00BF7E50"/>
    <w:rsid w:val="00C247D0"/>
    <w:rsid w:val="00C2508F"/>
    <w:rsid w:val="00C2590E"/>
    <w:rsid w:val="00C40233"/>
    <w:rsid w:val="00C45034"/>
    <w:rsid w:val="00C545E0"/>
    <w:rsid w:val="00C622EA"/>
    <w:rsid w:val="00C66E4E"/>
    <w:rsid w:val="00C702C2"/>
    <w:rsid w:val="00C746EF"/>
    <w:rsid w:val="00C86804"/>
    <w:rsid w:val="00CC6A7F"/>
    <w:rsid w:val="00D15CC8"/>
    <w:rsid w:val="00D21BD1"/>
    <w:rsid w:val="00D27449"/>
    <w:rsid w:val="00D31536"/>
    <w:rsid w:val="00D42242"/>
    <w:rsid w:val="00D61756"/>
    <w:rsid w:val="00D64849"/>
    <w:rsid w:val="00D74516"/>
    <w:rsid w:val="00DA27D4"/>
    <w:rsid w:val="00DA4D56"/>
    <w:rsid w:val="00DA5CC0"/>
    <w:rsid w:val="00DB7125"/>
    <w:rsid w:val="00DC3B91"/>
    <w:rsid w:val="00DC7720"/>
    <w:rsid w:val="00DF00B7"/>
    <w:rsid w:val="00E13A82"/>
    <w:rsid w:val="00E32CFD"/>
    <w:rsid w:val="00E34E69"/>
    <w:rsid w:val="00E44D9A"/>
    <w:rsid w:val="00E63119"/>
    <w:rsid w:val="00E638E6"/>
    <w:rsid w:val="00E64CCE"/>
    <w:rsid w:val="00E81A52"/>
    <w:rsid w:val="00E93650"/>
    <w:rsid w:val="00EA7AB7"/>
    <w:rsid w:val="00EC5A14"/>
    <w:rsid w:val="00EE7C60"/>
    <w:rsid w:val="00EF0FD6"/>
    <w:rsid w:val="00EF143A"/>
    <w:rsid w:val="00EF285D"/>
    <w:rsid w:val="00EF33BC"/>
    <w:rsid w:val="00F23F65"/>
    <w:rsid w:val="00F26E13"/>
    <w:rsid w:val="00F36EEE"/>
    <w:rsid w:val="00F3745E"/>
    <w:rsid w:val="00F624B8"/>
    <w:rsid w:val="00F71F88"/>
    <w:rsid w:val="00F7711D"/>
    <w:rsid w:val="00F8121F"/>
    <w:rsid w:val="00F87D0C"/>
    <w:rsid w:val="00FA0B41"/>
    <w:rsid w:val="00FA15AC"/>
    <w:rsid w:val="00FA2DF7"/>
    <w:rsid w:val="00FA5DD0"/>
    <w:rsid w:val="00FB1E70"/>
    <w:rsid w:val="00FB2671"/>
    <w:rsid w:val="00FD5EE3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063E-2D78-4DA1-9413-3DD18B04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8D3"/>
  </w:style>
  <w:style w:type="paragraph" w:styleId="Nadpis2">
    <w:name w:val="heading 2"/>
    <w:basedOn w:val="Normln"/>
    <w:next w:val="Normln"/>
    <w:link w:val="Nadpis2Char"/>
    <w:qFormat/>
    <w:rsid w:val="00797014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7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mluv1">
    <w:name w:val="StylSmluv1"/>
    <w:basedOn w:val="Normln"/>
    <w:link w:val="StylSmluv1Char"/>
    <w:autoRedefine/>
    <w:qFormat/>
    <w:rsid w:val="00171759"/>
    <w:pPr>
      <w:numPr>
        <w:numId w:val="1"/>
      </w:numPr>
      <w:spacing w:before="240" w:after="120" w:line="240" w:lineRule="auto"/>
      <w:jc w:val="center"/>
    </w:pPr>
    <w:rPr>
      <w:b/>
      <w:sz w:val="24"/>
    </w:rPr>
  </w:style>
  <w:style w:type="paragraph" w:customStyle="1" w:styleId="StylSmluv2">
    <w:name w:val="StylSmluv2"/>
    <w:basedOn w:val="Normln"/>
    <w:qFormat/>
    <w:rsid w:val="007C79F5"/>
    <w:pPr>
      <w:numPr>
        <w:ilvl w:val="1"/>
        <w:numId w:val="1"/>
      </w:numPr>
      <w:spacing w:before="120" w:after="60" w:line="240" w:lineRule="auto"/>
      <w:jc w:val="both"/>
    </w:pPr>
  </w:style>
  <w:style w:type="paragraph" w:customStyle="1" w:styleId="StylSmmluv3">
    <w:name w:val="StylSmmluv3"/>
    <w:basedOn w:val="Normln"/>
    <w:qFormat/>
    <w:rsid w:val="0070272D"/>
    <w:pPr>
      <w:numPr>
        <w:ilvl w:val="2"/>
        <w:numId w:val="1"/>
      </w:numPr>
      <w:spacing w:after="0" w:line="240" w:lineRule="auto"/>
      <w:jc w:val="both"/>
    </w:pPr>
  </w:style>
  <w:style w:type="character" w:customStyle="1" w:styleId="StylSmluv1Char">
    <w:name w:val="StylSmluv1 Char"/>
    <w:basedOn w:val="Standardnpsmoodstavce"/>
    <w:link w:val="StylSmluv1"/>
    <w:rsid w:val="00171759"/>
    <w:rPr>
      <w:b/>
      <w:sz w:val="24"/>
    </w:rPr>
  </w:style>
  <w:style w:type="paragraph" w:customStyle="1" w:styleId="StylSmluvNadpis">
    <w:name w:val="StylSmluvNadpis"/>
    <w:basedOn w:val="Normln"/>
    <w:qFormat/>
    <w:rsid w:val="0070272D"/>
    <w:pPr>
      <w:spacing w:before="360" w:after="120" w:line="240" w:lineRule="auto"/>
      <w:jc w:val="center"/>
    </w:pPr>
    <w:rPr>
      <w:rFonts w:eastAsia="Times New Roman" w:cs="Times New Roman"/>
      <w:b/>
      <w:sz w:val="32"/>
      <w:szCs w:val="28"/>
      <w:lang w:eastAsia="cs-CZ"/>
    </w:rPr>
  </w:style>
  <w:style w:type="paragraph" w:customStyle="1" w:styleId="StylSmluvPodnadpis">
    <w:name w:val="StylSmluvPodnadpis"/>
    <w:basedOn w:val="Normln"/>
    <w:qFormat/>
    <w:rsid w:val="007C79F5"/>
    <w:pPr>
      <w:spacing w:after="360" w:line="240" w:lineRule="auto"/>
      <w:jc w:val="center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4C9"/>
  </w:style>
  <w:style w:type="paragraph" w:styleId="Zpat">
    <w:name w:val="footer"/>
    <w:basedOn w:val="Normln"/>
    <w:link w:val="Zpat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C9"/>
  </w:style>
  <w:style w:type="paragraph" w:styleId="Textbubliny">
    <w:name w:val="Balloon Text"/>
    <w:basedOn w:val="Normln"/>
    <w:link w:val="TextbublinyChar"/>
    <w:uiPriority w:val="99"/>
    <w:semiHidden/>
    <w:unhideWhenUsed/>
    <w:rsid w:val="009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3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970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smlouvy">
    <w:name w:val="článek smlouvy"/>
    <w:basedOn w:val="Normln"/>
    <w:qFormat/>
    <w:rsid w:val="0079701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mlouvy">
    <w:name w:val="Odstavec smlouvy"/>
    <w:basedOn w:val="Normln"/>
    <w:link w:val="OdstavecsmlouvyChar"/>
    <w:qFormat/>
    <w:rsid w:val="0079701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OdstavecsmlouvyChar">
    <w:name w:val="Odstavec smlouvy Char"/>
    <w:link w:val="Odstavecsmlouvy"/>
    <w:rsid w:val="007970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97014"/>
    <w:pPr>
      <w:ind w:left="708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970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70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7014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701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97014"/>
    <w:rPr>
      <w:vertAlign w:val="superscript"/>
    </w:rPr>
  </w:style>
  <w:style w:type="paragraph" w:customStyle="1" w:styleId="rove1">
    <w:name w:val="úroveň 1"/>
    <w:basedOn w:val="Normln"/>
    <w:next w:val="rove2"/>
    <w:rsid w:val="00AC48A2"/>
    <w:pPr>
      <w:numPr>
        <w:numId w:val="4"/>
      </w:numPr>
      <w:spacing w:before="480" w:after="240" w:line="240" w:lineRule="auto"/>
      <w:ind w:left="357" w:hanging="35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AC48A2"/>
    <w:pPr>
      <w:numPr>
        <w:ilvl w:val="1"/>
        <w:numId w:val="4"/>
      </w:numPr>
      <w:tabs>
        <w:tab w:val="clear" w:pos="792"/>
      </w:tabs>
      <w:spacing w:after="120" w:line="240" w:lineRule="auto"/>
      <w:ind w:left="1077" w:hanging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2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F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F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FD5"/>
    <w:rPr>
      <w:b/>
      <w:bCs/>
      <w:sz w:val="20"/>
      <w:szCs w:val="20"/>
    </w:rPr>
  </w:style>
  <w:style w:type="paragraph" w:styleId="Bezmezer">
    <w:name w:val="No Spacing"/>
    <w:uiPriority w:val="1"/>
    <w:qFormat/>
    <w:rsid w:val="00895F6B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rsid w:val="00DC7720"/>
    <w:pPr>
      <w:tabs>
        <w:tab w:val="num" w:pos="708"/>
      </w:tabs>
      <w:spacing w:after="0" w:line="240" w:lineRule="auto"/>
      <w:ind w:left="708" w:hanging="708"/>
      <w:jc w:val="both"/>
    </w:pPr>
    <w:rPr>
      <w:rFonts w:ascii="Courier" w:eastAsia="Times New Roman" w:hAnsi="Courier" w:cs="Times New Roman"/>
      <w:color w:val="000000"/>
      <w:sz w:val="24"/>
      <w:szCs w:val="20"/>
      <w:lang w:val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DC7720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customStyle="1" w:styleId="Nadpisl">
    <w:name w:val="Nadpis čl."/>
    <w:basedOn w:val="Nadpis4"/>
    <w:next w:val="Normln"/>
    <w:rsid w:val="006B7638"/>
    <w:pPr>
      <w:autoSpaceDE w:val="0"/>
      <w:autoSpaceDN w:val="0"/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cs-CZ"/>
    </w:rPr>
  </w:style>
  <w:style w:type="paragraph" w:customStyle="1" w:styleId="odst">
    <w:name w:val="Č. odst."/>
    <w:basedOn w:val="Normln"/>
    <w:rsid w:val="006B7638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6B7638"/>
    <w:pPr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6B7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6B76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7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eformatted">
    <w:name w:val="preformatted"/>
    <w:basedOn w:val="Standardnpsmoodstavce"/>
    <w:rsid w:val="00B4324E"/>
  </w:style>
  <w:style w:type="character" w:customStyle="1" w:styleId="nowrap">
    <w:name w:val="nowrap"/>
    <w:basedOn w:val="Standardnpsmoodstavce"/>
    <w:rsid w:val="00B4324E"/>
  </w:style>
  <w:style w:type="paragraph" w:customStyle="1" w:styleId="BPAZkladntext">
    <w:name w:val="BPA Základní text"/>
    <w:basedOn w:val="Normln"/>
    <w:link w:val="BPAZkladntextChar"/>
    <w:rsid w:val="00D21BD1"/>
    <w:pPr>
      <w:spacing w:before="80" w:after="8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cs-CZ"/>
    </w:rPr>
  </w:style>
  <w:style w:type="character" w:customStyle="1" w:styleId="BPAZkladntextChar">
    <w:name w:val="BPA Základní text Char"/>
    <w:link w:val="BPAZkladntext"/>
    <w:rsid w:val="00D21BD1"/>
    <w:rPr>
      <w:rFonts w:ascii="Arial" w:eastAsia="Times New Roman" w:hAnsi="Arial" w:cs="Times New Roman"/>
      <w:noProof/>
      <w:sz w:val="24"/>
      <w:szCs w:val="24"/>
      <w:lang w:eastAsia="cs-CZ"/>
    </w:rPr>
  </w:style>
  <w:style w:type="paragraph" w:customStyle="1" w:styleId="BPAOdrky">
    <w:name w:val="BPA Odrážky"/>
    <w:basedOn w:val="Normln"/>
    <w:link w:val="BPAOdrkyChar"/>
    <w:rsid w:val="00F36EEE"/>
    <w:pPr>
      <w:numPr>
        <w:numId w:val="21"/>
      </w:numPr>
      <w:spacing w:after="8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  <w:lang w:eastAsia="cs-CZ"/>
    </w:rPr>
  </w:style>
  <w:style w:type="character" w:customStyle="1" w:styleId="BPAOdrkyChar">
    <w:name w:val="BPA Odrážky Char"/>
    <w:link w:val="BPAOdrky"/>
    <w:rsid w:val="00F36EEE"/>
    <w:rPr>
      <w:rFonts w:ascii="Arial" w:eastAsia="Times New Roman" w:hAnsi="Arial" w:cs="Times New Roman"/>
      <w:bCs/>
      <w:noProof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36EEE"/>
    <w:pPr>
      <w:numPr>
        <w:ilvl w:val="1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F36EEE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2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1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1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OZ%20SMLOUVY%20AKGP\Koupe_movita\KUPUJ&#205;C&#205;\kupni_movita_V1.2_PO_P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9074-2B71-457C-AC11-95BBC8A6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kupni_movita_V1.2_PO_PO</Template>
  <TotalTime>71</TotalTime>
  <Pages>5</Pages>
  <Words>1578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Vladimír Nový - GÖRGES &amp; PARTNERS</dc:creator>
  <cp:lastModifiedBy>Pavel Peták</cp:lastModifiedBy>
  <cp:revision>15</cp:revision>
  <cp:lastPrinted>2013-11-11T06:10:00Z</cp:lastPrinted>
  <dcterms:created xsi:type="dcterms:W3CDTF">2018-01-04T10:57:00Z</dcterms:created>
  <dcterms:modified xsi:type="dcterms:W3CDTF">2018-01-05T10:40:00Z</dcterms:modified>
</cp:coreProperties>
</file>