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21C26D56" w:rsidR="000453A5" w:rsidRPr="00566D8A" w:rsidRDefault="000453A5" w:rsidP="00566D8A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66D8A">
        <w:rPr>
          <w:rFonts w:cstheme="minorHAnsi"/>
        </w:rPr>
        <w:t>Zadavatel</w:t>
      </w:r>
      <w:r w:rsidR="00A67EDA" w:rsidRPr="00566D8A">
        <w:rPr>
          <w:rFonts w:cstheme="minorHAnsi"/>
        </w:rPr>
        <w:t xml:space="preserve"> </w:t>
      </w:r>
      <w:r w:rsidRPr="00566D8A">
        <w:rPr>
          <w:rFonts w:cstheme="minorHAnsi"/>
        </w:rPr>
        <w:t>oznámil dne</w:t>
      </w:r>
      <w:bookmarkStart w:id="5" w:name="_Hlk515028694"/>
      <w:r w:rsidRPr="00566D8A">
        <w:rPr>
          <w:rFonts w:cstheme="minorHAnsi"/>
        </w:rPr>
        <w:t xml:space="preserve"> </w:t>
      </w:r>
      <w:bookmarkEnd w:id="5"/>
      <w:r w:rsidR="00566D8A">
        <w:rPr>
          <w:rFonts w:ascii="Calibri" w:hAnsi="Calibri"/>
          <w:b/>
          <w:caps/>
          <w:lang w:bidi="en-US"/>
        </w:rPr>
        <w:t>24.11</w:t>
      </w:r>
      <w:r w:rsidR="00C274D6" w:rsidRPr="00566D8A">
        <w:rPr>
          <w:rFonts w:ascii="Calibri" w:hAnsi="Calibri"/>
          <w:b/>
          <w:caps/>
          <w:lang w:bidi="en-US"/>
        </w:rPr>
        <w:t xml:space="preserve">.2022 </w:t>
      </w:r>
      <w:r w:rsidRPr="00566D8A">
        <w:rPr>
          <w:rFonts w:cstheme="minorHAnsi"/>
        </w:rPr>
        <w:t xml:space="preserve">odesláním formuláře </w:t>
      </w:r>
      <w:r w:rsidR="00C15ADE" w:rsidRPr="00566D8A">
        <w:rPr>
          <w:rFonts w:cstheme="minorHAnsi"/>
        </w:rPr>
        <w:t>O</w:t>
      </w:r>
      <w:r w:rsidRPr="00566D8A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566D8A">
        <w:rPr>
          <w:rFonts w:cstheme="minorHAnsi"/>
          <w:b/>
          <w:bCs/>
        </w:rPr>
        <w:t>„</w:t>
      </w:r>
      <w:r w:rsidR="00C274D6" w:rsidRPr="00566D8A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566D8A" w:rsidRPr="00566D8A">
        <w:rPr>
          <w:rFonts w:ascii="Calibri" w:hAnsi="Calibri"/>
          <w:b/>
          <w:bCs/>
          <w:lang w:bidi="en-US"/>
        </w:rPr>
        <w:t>D8 – Kolínsko</w:t>
      </w:r>
      <w:r w:rsidR="00C274D6" w:rsidRPr="00566D8A">
        <w:rPr>
          <w:rFonts w:ascii="Calibri" w:hAnsi="Calibri"/>
          <w:b/>
          <w:bCs/>
          <w:lang w:bidi="en-US"/>
        </w:rPr>
        <w:t>“</w:t>
      </w:r>
      <w:r w:rsidRPr="00566D8A">
        <w:rPr>
          <w:rFonts w:cstheme="minorHAnsi"/>
        </w:rPr>
        <w:t xml:space="preserve"> (dále jen „</w:t>
      </w:r>
      <w:r w:rsidR="002A228B" w:rsidRPr="00566D8A">
        <w:rPr>
          <w:rFonts w:cstheme="minorHAnsi"/>
          <w:b/>
          <w:bCs/>
          <w:i/>
          <w:iCs/>
        </w:rPr>
        <w:t>V</w:t>
      </w:r>
      <w:r w:rsidRPr="00566D8A">
        <w:rPr>
          <w:rFonts w:cstheme="minorHAnsi"/>
          <w:b/>
          <w:bCs/>
          <w:i/>
          <w:iCs/>
        </w:rPr>
        <w:t>eřejná zakázka</w:t>
      </w:r>
      <w:r w:rsidRPr="00566D8A">
        <w:rPr>
          <w:rFonts w:cstheme="minorHAnsi"/>
          <w:b/>
        </w:rPr>
        <w:t>“</w:t>
      </w:r>
      <w:r w:rsidRPr="00566D8A">
        <w:rPr>
          <w:rFonts w:cstheme="minorHAnsi"/>
        </w:rPr>
        <w:t xml:space="preserve">) dle zákona č.  134/2016 Sb., </w:t>
      </w:r>
      <w:r w:rsidR="00C15ADE" w:rsidRPr="00566D8A">
        <w:rPr>
          <w:rFonts w:cstheme="minorHAnsi"/>
        </w:rPr>
        <w:t xml:space="preserve">zákon </w:t>
      </w:r>
      <w:r w:rsidRPr="00566D8A">
        <w:rPr>
          <w:rFonts w:cstheme="minorHAnsi"/>
        </w:rPr>
        <w:t>o zadávání veřejných zakázek</w:t>
      </w:r>
      <w:r w:rsidR="00061FC5" w:rsidRPr="00566D8A">
        <w:rPr>
          <w:rFonts w:cstheme="minorHAnsi"/>
        </w:rPr>
        <w:t xml:space="preserve">, ve znění pozdějších předpisů </w:t>
      </w:r>
      <w:r w:rsidRPr="00566D8A">
        <w:rPr>
          <w:rFonts w:cstheme="minorHAnsi"/>
        </w:rPr>
        <w:t>(dále jen „</w:t>
      </w:r>
      <w:r w:rsidRPr="00566D8A">
        <w:rPr>
          <w:rFonts w:cstheme="minorHAnsi"/>
          <w:b/>
          <w:bCs/>
          <w:i/>
          <w:iCs/>
        </w:rPr>
        <w:t>Zákon</w:t>
      </w:r>
      <w:r w:rsidRPr="00566D8A">
        <w:rPr>
          <w:rFonts w:cstheme="minorHAnsi"/>
        </w:rPr>
        <w:t>“).</w:t>
      </w:r>
      <w:bookmarkEnd w:id="2"/>
      <w:r w:rsidRPr="00566D8A">
        <w:rPr>
          <w:rFonts w:cstheme="minorHAnsi"/>
        </w:rPr>
        <w:t xml:space="preserve"> </w:t>
      </w:r>
      <w:bookmarkEnd w:id="3"/>
      <w:r w:rsidRPr="00566D8A">
        <w:rPr>
          <w:rFonts w:cstheme="minorHAnsi"/>
        </w:rPr>
        <w:t>Dodavatel s úmyslem účastnit se</w:t>
      </w:r>
      <w:r w:rsidR="00F83336" w:rsidRPr="00566D8A">
        <w:rPr>
          <w:rFonts w:cstheme="minorHAnsi"/>
        </w:rPr>
        <w:t> </w:t>
      </w:r>
      <w:r w:rsidR="002A228B" w:rsidRPr="00566D8A">
        <w:rPr>
          <w:rFonts w:cstheme="minorHAnsi"/>
        </w:rPr>
        <w:t>V</w:t>
      </w:r>
      <w:r w:rsidRPr="00566D8A">
        <w:rPr>
          <w:rFonts w:cstheme="minorHAnsi"/>
        </w:rPr>
        <w:t>eřejné zakázky požaduje vydání těch částí zadávací dokumentace k </w:t>
      </w:r>
      <w:r w:rsidR="002A228B" w:rsidRPr="00566D8A">
        <w:rPr>
          <w:rFonts w:cstheme="minorHAnsi"/>
        </w:rPr>
        <w:t>V</w:t>
      </w:r>
      <w:r w:rsidRPr="00566D8A">
        <w:rPr>
          <w:rFonts w:cstheme="minorHAnsi"/>
        </w:rPr>
        <w:t xml:space="preserve">eřejné zakázce, které </w:t>
      </w:r>
      <w:r w:rsidR="00B279C3" w:rsidRPr="00566D8A">
        <w:rPr>
          <w:rFonts w:cstheme="minorHAnsi"/>
        </w:rPr>
        <w:t>nebyly uveřejněny na profilu Zadavatele</w:t>
      </w:r>
      <w:r w:rsidR="00C24DA4" w:rsidRPr="00566D8A">
        <w:rPr>
          <w:rFonts w:cstheme="minorHAnsi"/>
        </w:rPr>
        <w:t>.</w:t>
      </w:r>
      <w:r w:rsidRPr="00566D8A">
        <w:rPr>
          <w:rFonts w:cstheme="minorHAnsi"/>
        </w:rPr>
        <w:t xml:space="preserve"> Zadavatel</w:t>
      </w:r>
      <w:r w:rsidR="00F367E0" w:rsidRPr="00566D8A">
        <w:rPr>
          <w:rFonts w:cstheme="minorHAnsi"/>
        </w:rPr>
        <w:t xml:space="preserve"> a osoby,</w:t>
      </w:r>
      <w:r w:rsidR="00B279C3" w:rsidRPr="00566D8A">
        <w:rPr>
          <w:rFonts w:cstheme="minorHAnsi"/>
          <w:bCs/>
        </w:rPr>
        <w:t xml:space="preserve"> kter</w:t>
      </w:r>
      <w:r w:rsidR="00F367E0" w:rsidRPr="00566D8A">
        <w:rPr>
          <w:rFonts w:cstheme="minorHAnsi"/>
          <w:bCs/>
        </w:rPr>
        <w:t>é se na</w:t>
      </w:r>
      <w:r w:rsidR="00B279C3" w:rsidRPr="00566D8A">
        <w:rPr>
          <w:rFonts w:cstheme="minorHAnsi"/>
          <w:bCs/>
        </w:rPr>
        <w:t xml:space="preserve"> </w:t>
      </w:r>
      <w:r w:rsidR="00F367E0" w:rsidRPr="00566D8A">
        <w:rPr>
          <w:rFonts w:cstheme="minorHAnsi"/>
          <w:bCs/>
        </w:rPr>
        <w:t xml:space="preserve">vypracování </w:t>
      </w:r>
      <w:r w:rsidR="00B279C3" w:rsidRPr="00566D8A">
        <w:rPr>
          <w:rFonts w:cstheme="minorHAnsi"/>
          <w:bCs/>
        </w:rPr>
        <w:t>t</w:t>
      </w:r>
      <w:r w:rsidR="00C15ADE" w:rsidRPr="00566D8A">
        <w:rPr>
          <w:rFonts w:cstheme="minorHAnsi"/>
          <w:bCs/>
        </w:rPr>
        <w:t>ěch</w:t>
      </w:r>
      <w:r w:rsidR="00B279C3" w:rsidRPr="00566D8A">
        <w:rPr>
          <w:rFonts w:cstheme="minorHAnsi"/>
          <w:bCs/>
        </w:rPr>
        <w:t>to část</w:t>
      </w:r>
      <w:r w:rsidR="00C15ADE" w:rsidRPr="00566D8A">
        <w:rPr>
          <w:rFonts w:cstheme="minorHAnsi"/>
          <w:bCs/>
        </w:rPr>
        <w:t>í</w:t>
      </w:r>
      <w:r w:rsidR="00B279C3" w:rsidRPr="00566D8A">
        <w:rPr>
          <w:rFonts w:cstheme="minorHAnsi"/>
          <w:bCs/>
        </w:rPr>
        <w:t xml:space="preserve"> zadávací dokumentace</w:t>
      </w:r>
      <w:r w:rsidR="00F367E0" w:rsidRPr="00566D8A">
        <w:rPr>
          <w:rFonts w:cstheme="minorHAnsi"/>
          <w:bCs/>
        </w:rPr>
        <w:t xml:space="preserve"> podílely</w:t>
      </w:r>
      <w:r w:rsidR="00B279C3" w:rsidRPr="00566D8A">
        <w:rPr>
          <w:rFonts w:cstheme="minorHAnsi"/>
          <w:bCs/>
        </w:rPr>
        <w:t>,</w:t>
      </w:r>
      <w:r w:rsidRPr="00566D8A">
        <w:rPr>
          <w:rFonts w:cstheme="minorHAnsi"/>
        </w:rPr>
        <w:t xml:space="preserve"> považuj</w:t>
      </w:r>
      <w:r w:rsidR="00F367E0" w:rsidRPr="00566D8A">
        <w:rPr>
          <w:rFonts w:cstheme="minorHAnsi"/>
        </w:rPr>
        <w:t>í</w:t>
      </w:r>
      <w:r w:rsidRPr="00566D8A">
        <w:rPr>
          <w:rFonts w:cstheme="minorHAnsi"/>
        </w:rPr>
        <w:t xml:space="preserve"> </w:t>
      </w:r>
      <w:r w:rsidR="00602A62" w:rsidRPr="00566D8A">
        <w:rPr>
          <w:rFonts w:cstheme="minorHAnsi"/>
        </w:rPr>
        <w:t xml:space="preserve">informace uvedené v těchto dokumentech </w:t>
      </w:r>
      <w:r w:rsidRPr="00566D8A">
        <w:rPr>
          <w:rFonts w:cstheme="minorHAnsi"/>
        </w:rPr>
        <w:t>za</w:t>
      </w:r>
      <w:r w:rsidR="006D3B7B" w:rsidRPr="00566D8A">
        <w:rPr>
          <w:rFonts w:cstheme="minorHAnsi"/>
        </w:rPr>
        <w:t> </w:t>
      </w:r>
      <w:r w:rsidRPr="00566D8A">
        <w:rPr>
          <w:rFonts w:cstheme="minorHAnsi"/>
        </w:rPr>
        <w:t>důvěrné a vyžaduj</w:t>
      </w:r>
      <w:r w:rsidR="00F367E0" w:rsidRPr="00566D8A">
        <w:rPr>
          <w:rFonts w:cstheme="minorHAnsi"/>
        </w:rPr>
        <w:t>í</w:t>
      </w:r>
      <w:r w:rsidRPr="00566D8A">
        <w:rPr>
          <w:rFonts w:cstheme="minorHAnsi"/>
        </w:rPr>
        <w:t xml:space="preserve"> jejich ochranu (dále jen „</w:t>
      </w:r>
      <w:r w:rsidRPr="00566D8A">
        <w:rPr>
          <w:rFonts w:cstheme="minorHAnsi"/>
          <w:b/>
          <w:bCs/>
          <w:i/>
          <w:iCs/>
        </w:rPr>
        <w:t>Důvěrné informace</w:t>
      </w:r>
      <w:r w:rsidRPr="00566D8A">
        <w:rPr>
          <w:rFonts w:cstheme="minorHAnsi"/>
        </w:rPr>
        <w:t>“).</w:t>
      </w:r>
      <w:r w:rsidR="00602A62" w:rsidRPr="00566D8A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52DF9" w14:textId="77777777" w:rsidR="009C6159" w:rsidRDefault="009C6159">
      <w:pPr>
        <w:spacing w:after="0" w:line="240" w:lineRule="auto"/>
      </w:pPr>
      <w:r>
        <w:separator/>
      </w:r>
    </w:p>
  </w:endnote>
  <w:endnote w:type="continuationSeparator" w:id="0">
    <w:p w14:paraId="7B16F1A3" w14:textId="77777777" w:rsidR="009C6159" w:rsidRDefault="009C6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566D8A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566D8A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7EAE6" w14:textId="77777777" w:rsidR="009C6159" w:rsidRDefault="009C6159">
      <w:pPr>
        <w:spacing w:after="0" w:line="240" w:lineRule="auto"/>
      </w:pPr>
      <w:r>
        <w:separator/>
      </w:r>
    </w:p>
  </w:footnote>
  <w:footnote w:type="continuationSeparator" w:id="0">
    <w:p w14:paraId="335BAC8C" w14:textId="77777777" w:rsidR="009C6159" w:rsidRDefault="009C6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8015831">
    <w:abstractNumId w:val="1"/>
  </w:num>
  <w:num w:numId="2" w16cid:durableId="195043674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98842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9391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3810961">
    <w:abstractNumId w:val="1"/>
  </w:num>
  <w:num w:numId="6" w16cid:durableId="654453628">
    <w:abstractNumId w:val="1"/>
  </w:num>
  <w:num w:numId="7" w16cid:durableId="1608391499">
    <w:abstractNumId w:val="1"/>
  </w:num>
  <w:num w:numId="8" w16cid:durableId="534585578">
    <w:abstractNumId w:val="1"/>
  </w:num>
  <w:num w:numId="9" w16cid:durableId="1640648168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4953390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2582141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7899750">
    <w:abstractNumId w:val="1"/>
  </w:num>
  <w:num w:numId="13" w16cid:durableId="1309674590">
    <w:abstractNumId w:val="1"/>
  </w:num>
  <w:num w:numId="14" w16cid:durableId="1391463299">
    <w:abstractNumId w:val="1"/>
  </w:num>
  <w:num w:numId="15" w16cid:durableId="674769801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7611576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2591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797945">
    <w:abstractNumId w:val="1"/>
  </w:num>
  <w:num w:numId="19" w16cid:durableId="171994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3186987">
    <w:abstractNumId w:val="1"/>
  </w:num>
  <w:num w:numId="21" w16cid:durableId="1173035710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472381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0909570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0158609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6835413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7667397">
    <w:abstractNumId w:val="5"/>
  </w:num>
  <w:num w:numId="27" w16cid:durableId="1106731809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9579450">
    <w:abstractNumId w:val="2"/>
  </w:num>
  <w:num w:numId="29" w16cid:durableId="154880074">
    <w:abstractNumId w:val="4"/>
  </w:num>
  <w:num w:numId="30" w16cid:durableId="997880278">
    <w:abstractNumId w:val="3"/>
  </w:num>
  <w:num w:numId="31" w16cid:durableId="1288121754">
    <w:abstractNumId w:val="0"/>
  </w:num>
  <w:num w:numId="32" w16cid:durableId="942878969">
    <w:abstractNumId w:val="1"/>
  </w:num>
  <w:num w:numId="33" w16cid:durableId="1261792463">
    <w:abstractNumId w:val="1"/>
  </w:num>
  <w:num w:numId="34" w16cid:durableId="445080261">
    <w:abstractNumId w:val="1"/>
  </w:num>
  <w:num w:numId="35" w16cid:durableId="1677996822">
    <w:abstractNumId w:val="1"/>
  </w:num>
  <w:num w:numId="36" w16cid:durableId="328947190">
    <w:abstractNumId w:val="1"/>
  </w:num>
  <w:num w:numId="37" w16cid:durableId="636376420">
    <w:abstractNumId w:val="1"/>
  </w:num>
  <w:num w:numId="38" w16cid:durableId="1280797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86B"/>
    <w:rsid w:val="001F7A08"/>
    <w:rsid w:val="002349E7"/>
    <w:rsid w:val="00261416"/>
    <w:rsid w:val="0026774A"/>
    <w:rsid w:val="00270B26"/>
    <w:rsid w:val="002951E7"/>
    <w:rsid w:val="002A228B"/>
    <w:rsid w:val="002B339D"/>
    <w:rsid w:val="002C23AE"/>
    <w:rsid w:val="003234C6"/>
    <w:rsid w:val="00370164"/>
    <w:rsid w:val="0037541C"/>
    <w:rsid w:val="0039538A"/>
    <w:rsid w:val="00415CA1"/>
    <w:rsid w:val="004521DB"/>
    <w:rsid w:val="00476526"/>
    <w:rsid w:val="00492EFC"/>
    <w:rsid w:val="00566D8A"/>
    <w:rsid w:val="005A31B7"/>
    <w:rsid w:val="005A6D48"/>
    <w:rsid w:val="005B3521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44C45"/>
    <w:rsid w:val="00773078"/>
    <w:rsid w:val="007C06DC"/>
    <w:rsid w:val="007D1C1E"/>
    <w:rsid w:val="007E1DFD"/>
    <w:rsid w:val="00844BCC"/>
    <w:rsid w:val="00865512"/>
    <w:rsid w:val="00874843"/>
    <w:rsid w:val="008963D3"/>
    <w:rsid w:val="008A2DF8"/>
    <w:rsid w:val="008B692B"/>
    <w:rsid w:val="008F3440"/>
    <w:rsid w:val="00946471"/>
    <w:rsid w:val="00992193"/>
    <w:rsid w:val="009A6D07"/>
    <w:rsid w:val="009C429B"/>
    <w:rsid w:val="009C6159"/>
    <w:rsid w:val="009E4064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BE017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D72AEC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CABB6C2E-909E-489C-B3C9-AB1D873D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1F7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A0BA5-1321-46E4-B6C9-61FEF26D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993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24</cp:revision>
  <cp:lastPrinted>2018-05-25T14:05:00Z</cp:lastPrinted>
  <dcterms:created xsi:type="dcterms:W3CDTF">2018-08-13T08:04:00Z</dcterms:created>
  <dcterms:modified xsi:type="dcterms:W3CDTF">2022-11-28T11:27:00Z</dcterms:modified>
</cp:coreProperties>
</file>