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506F7" w14:textId="7B882436" w:rsidR="008D7B12" w:rsidRPr="00F405BA" w:rsidRDefault="008D7B12" w:rsidP="007E4087">
      <w:pPr>
        <w:pStyle w:val="2nesltext"/>
        <w:spacing w:line="276" w:lineRule="auto"/>
        <w:contextualSpacing/>
        <w:jc w:val="center"/>
        <w:rPr>
          <w:b/>
          <w:sz w:val="28"/>
        </w:rPr>
      </w:pPr>
      <w:r w:rsidRPr="00F405BA">
        <w:rPr>
          <w:b/>
          <w:sz w:val="28"/>
        </w:rPr>
        <w:t>Příloha č. 15 dokumentace zadávacího řízení</w:t>
      </w:r>
    </w:p>
    <w:p w14:paraId="5E0900AD" w14:textId="77777777" w:rsidR="00BB7246" w:rsidRPr="00F405BA" w:rsidRDefault="008D7B12" w:rsidP="007E4087">
      <w:pPr>
        <w:pStyle w:val="2nesltext"/>
        <w:spacing w:after="0" w:line="276" w:lineRule="auto"/>
        <w:jc w:val="center"/>
        <w:rPr>
          <w:b/>
          <w:sz w:val="28"/>
        </w:rPr>
      </w:pPr>
      <w:r w:rsidRPr="00F405BA">
        <w:rPr>
          <w:b/>
          <w:sz w:val="28"/>
        </w:rPr>
        <w:t>-</w:t>
      </w:r>
    </w:p>
    <w:p w14:paraId="25334B46" w14:textId="6BADDC0D" w:rsidR="00BE2595" w:rsidRDefault="007F4F55" w:rsidP="007E4087">
      <w:pPr>
        <w:pStyle w:val="2nesltext"/>
        <w:spacing w:before="0" w:line="276" w:lineRule="auto"/>
        <w:jc w:val="center"/>
        <w:rPr>
          <w:b/>
          <w:sz w:val="28"/>
        </w:rPr>
      </w:pPr>
      <w:r w:rsidRPr="00F405BA">
        <w:rPr>
          <w:b/>
          <w:sz w:val="28"/>
        </w:rPr>
        <w:t xml:space="preserve">Souhrn základních informací z uveřejněných vysvětlení zadávací dokumentace v rámci první </w:t>
      </w:r>
      <w:r w:rsidR="00FA64E8">
        <w:rPr>
          <w:b/>
          <w:sz w:val="28"/>
        </w:rPr>
        <w:t xml:space="preserve">a druhé </w:t>
      </w:r>
      <w:r w:rsidRPr="00F405BA">
        <w:rPr>
          <w:b/>
          <w:sz w:val="28"/>
        </w:rPr>
        <w:t>etapy</w:t>
      </w:r>
      <w:r w:rsidR="0053562B" w:rsidRPr="00F405BA">
        <w:rPr>
          <w:b/>
          <w:sz w:val="28"/>
        </w:rPr>
        <w:t xml:space="preserve"> </w:t>
      </w:r>
      <w:r w:rsidR="00762BAE">
        <w:rPr>
          <w:b/>
          <w:sz w:val="28"/>
        </w:rPr>
        <w:t>(A</w:t>
      </w:r>
      <w:r w:rsidR="00FA64E8">
        <w:rPr>
          <w:b/>
          <w:sz w:val="28"/>
        </w:rPr>
        <w:t xml:space="preserve"> </w:t>
      </w:r>
      <w:proofErr w:type="spellStart"/>
      <w:r w:rsidR="00FA64E8">
        <w:rPr>
          <w:b/>
          <w:sz w:val="28"/>
        </w:rPr>
        <w:t>a</w:t>
      </w:r>
      <w:proofErr w:type="spellEnd"/>
      <w:r w:rsidR="00FA64E8">
        <w:rPr>
          <w:b/>
          <w:sz w:val="28"/>
        </w:rPr>
        <w:t xml:space="preserve"> B</w:t>
      </w:r>
      <w:r w:rsidR="00762BAE">
        <w:rPr>
          <w:b/>
          <w:sz w:val="28"/>
        </w:rPr>
        <w:t xml:space="preserve">) </w:t>
      </w:r>
      <w:r w:rsidR="0053562B" w:rsidRPr="00F405BA">
        <w:rPr>
          <w:b/>
          <w:sz w:val="28"/>
        </w:rPr>
        <w:t>zadávacích řízení</w:t>
      </w:r>
      <w:r w:rsidR="00152AEE">
        <w:rPr>
          <w:b/>
          <w:sz w:val="28"/>
        </w:rPr>
        <w:t xml:space="preserve"> a doplňující pokyny ke zpracování nabídky</w:t>
      </w:r>
    </w:p>
    <w:p w14:paraId="566E4FB1" w14:textId="0D475955" w:rsidR="00FA64E8" w:rsidRPr="00FA64E8" w:rsidRDefault="00FA64E8" w:rsidP="00FA64E8">
      <w:pPr>
        <w:rPr>
          <w:b/>
          <w:i/>
          <w:szCs w:val="20"/>
        </w:rPr>
      </w:pPr>
      <w:r w:rsidRPr="00FA64E8">
        <w:rPr>
          <w:b/>
          <w:i/>
          <w:szCs w:val="20"/>
        </w:rPr>
        <w:t xml:space="preserve">Nové informace </w:t>
      </w:r>
      <w:r>
        <w:rPr>
          <w:b/>
          <w:i/>
          <w:szCs w:val="20"/>
        </w:rPr>
        <w:t xml:space="preserve">v příloze č. 15 dokumentace zadávacího řízení </w:t>
      </w:r>
      <w:r w:rsidRPr="00FA64E8">
        <w:rPr>
          <w:b/>
          <w:i/>
          <w:szCs w:val="20"/>
        </w:rPr>
        <w:t>oproti vlně B jsou vyznačeny</w:t>
      </w:r>
      <w:r>
        <w:rPr>
          <w:b/>
          <w:i/>
          <w:szCs w:val="20"/>
        </w:rPr>
        <w:t xml:space="preserve"> žlutým</w:t>
      </w:r>
      <w:r w:rsidRPr="00FA64E8">
        <w:rPr>
          <w:b/>
          <w:i/>
          <w:szCs w:val="20"/>
        </w:rPr>
        <w:t xml:space="preserve"> podbarvením</w:t>
      </w:r>
    </w:p>
    <w:p w14:paraId="3BDB84A9" w14:textId="77777777" w:rsidR="00EA65F0" w:rsidRPr="00F405BA" w:rsidRDefault="00EA65F0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Inform</w:t>
      </w:r>
      <w:r w:rsidR="00AF6113" w:rsidRPr="00F405BA">
        <w:rPr>
          <w:b/>
          <w:szCs w:val="18"/>
        </w:rPr>
        <w:t>a</w:t>
      </w:r>
      <w:r w:rsidRPr="00F405BA">
        <w:rPr>
          <w:b/>
          <w:szCs w:val="18"/>
        </w:rPr>
        <w:t>ce pro zapracování nabídky</w:t>
      </w:r>
    </w:p>
    <w:p w14:paraId="55FECB89" w14:textId="6D6B9744" w:rsidR="00FA64E8" w:rsidRPr="006259B4" w:rsidRDefault="00FA64E8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  <w:rPr>
          <w:b/>
        </w:rPr>
      </w:pPr>
      <w:r w:rsidRPr="006259B4">
        <w:rPr>
          <w:b/>
        </w:rPr>
        <w:t>Příprava nabídky v oblastech s odkupem vozidel:</w:t>
      </w:r>
      <w:r w:rsidRPr="006259B4">
        <w:t xml:space="preserve"> </w:t>
      </w:r>
      <w:r w:rsidR="00AA7DC6" w:rsidRPr="006259B4">
        <w:t xml:space="preserve">Náklady na odpisy odkupovaných vozidel (řádek </w:t>
      </w:r>
      <w:proofErr w:type="gramStart"/>
      <w:r w:rsidR="00AA7DC6" w:rsidRPr="006259B4">
        <w:t>4b</w:t>
      </w:r>
      <w:proofErr w:type="gramEnd"/>
      <w:r w:rsidR="00AA7DC6" w:rsidRPr="006259B4">
        <w:t xml:space="preserve"> v Příloze č. 6 Zadávací dokumentace), na změnu nebo úpravu OIS a náklady na úpravu dle Manuálu jednotného vzhledu vozidel na vozidla z odkupu (řádek 4d v Příloze č. 6 Zadávací dokumentace) se celkové náklady na změnu vstupují do nabídkové ceny a rozpočítávají se tedy na celou dobu trvání smluv, tudíž se vyplňuje jen 1/10 hodnoty. Vyčlenění odpisů a nákladů na úpravu odkupovaných vozidel Zadavatel provedl záměrně, a to mimo jiné v souvislosti s případnou náhradou za zničené vozidlo dle čl. XVII odst. 6 Závazných návrhů smluv tak, aby bylo transparentně možné dopočítat jako ostatní náklady systému případný zvýšený odpis za nové vozidlo, kterým by bylo zničené vozidlo nahrazeno. Výkazy nákladů a tržeb z přepravní činnosti povinné podle vyhlášky č. 296/2010 Sb., vyhláška o postupech pro sestavení finančního modelu a určení maximální výše kompenzace, ve znění pozdějších předpisů, nebudou od dopravce vyžadovány, a to kromě stanovených vyhrazených změn, se kterými počítají smlouvy. Pro úplnost lze dodat, že tato zákonná povinnost se vztahuje na výkaznictví smluv uzavřených na základě přímého zadání smluv o veřejných službách; Zadavatel pouze pro vybrané vyhrazené změny tento postup zohlednil v zadávacích podmínkách, ale obecně se tento postup nevztahuje k celkovému výkaznictví k nabídkové ceně</w:t>
      </w:r>
      <w:r w:rsidRPr="006259B4">
        <w:t>.</w:t>
      </w:r>
    </w:p>
    <w:p w14:paraId="2F0645BF" w14:textId="5B2CFA52" w:rsidR="00AF6113" w:rsidRDefault="00AF6113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6259B4">
        <w:rPr>
          <w:b/>
        </w:rPr>
        <w:t>Stáří vozového parku na počátku kontraktu:</w:t>
      </w:r>
      <w:r w:rsidRPr="006259B4">
        <w:t xml:space="preserve"> </w:t>
      </w:r>
      <w:r w:rsidR="007D48C2" w:rsidRPr="006259B4">
        <w:t>25% podíl vozového parku na začátku kontraktu se rozumí 25 % vozidel mladších 3 let od data první registrace s tím</w:t>
      </w:r>
      <w:r w:rsidR="007D48C2" w:rsidRPr="00F405BA">
        <w:t xml:space="preserve">, že pro posouzení stáří vozidel </w:t>
      </w:r>
      <w:r w:rsidR="008D7B12" w:rsidRPr="00F405BA">
        <w:t xml:space="preserve">bude </w:t>
      </w:r>
      <w:r w:rsidR="007D48C2" w:rsidRPr="00F405BA">
        <w:t xml:space="preserve">za začátek kontraktu považováno datum </w:t>
      </w:r>
      <w:r w:rsidR="008D7B12" w:rsidRPr="00F405BA">
        <w:t>0</w:t>
      </w:r>
      <w:r w:rsidR="007D48C2" w:rsidRPr="00F405BA">
        <w:t xml:space="preserve">1.12.2024. </w:t>
      </w:r>
      <w:r w:rsidRPr="00F405BA">
        <w:t xml:space="preserve">Z důvodu, aby mohli </w:t>
      </w:r>
      <w:r w:rsidR="00B828C3">
        <w:t>dopravci</w:t>
      </w:r>
      <w:r w:rsidRPr="00F405BA">
        <w:t xml:space="preserve"> řádně nacenit předmět plnění, tak v případě, že </w:t>
      </w:r>
      <w:r w:rsidR="00C04D25" w:rsidRPr="00F405BA">
        <w:t xml:space="preserve">by došlo </w:t>
      </w:r>
      <w:r w:rsidRPr="00F405BA">
        <w:t>ke zpoždění termínu Zahájení provozu ve smyslu Závazných návrhů smluv, bude stáří vozidel posuzováno k původnímu datu plánovaného Zahájení provozu, který je uvedený v čl. I Závazných návrhů smluv</w:t>
      </w:r>
      <w:r w:rsidR="00F240A0" w:rsidRPr="00F405BA">
        <w:t xml:space="preserve"> – tj. </w:t>
      </w:r>
      <w:r w:rsidR="008D7B12" w:rsidRPr="00F405BA">
        <w:t>0</w:t>
      </w:r>
      <w:r w:rsidR="00F240A0" w:rsidRPr="00F405BA">
        <w:t>1.12.2024</w:t>
      </w:r>
      <w:r w:rsidRPr="00F405BA">
        <w:t>.</w:t>
      </w:r>
    </w:p>
    <w:p w14:paraId="1FC4AB56" w14:textId="34C19AD7" w:rsidR="00FA64E8" w:rsidRDefault="00FA64E8" w:rsidP="00FA64E8">
      <w:pPr>
        <w:keepNext/>
        <w:autoSpaceDE w:val="0"/>
        <w:autoSpaceDN w:val="0"/>
        <w:adjustRightInd w:val="0"/>
        <w:jc w:val="both"/>
      </w:pPr>
      <w:r>
        <w:rPr>
          <w:b/>
          <w:highlight w:val="yellow"/>
        </w:rPr>
        <w:t xml:space="preserve">Mzdové náklady: </w:t>
      </w:r>
      <w:r>
        <w:rPr>
          <w:highlight w:val="yellow"/>
        </w:rPr>
        <w:t xml:space="preserve">Mzdové náklady musí korespondovat s údaji uvedenými pro nacenění jednotlivých typů vozidel. </w:t>
      </w:r>
      <w:r w:rsidR="00AA7DC6">
        <w:rPr>
          <w:highlight w:val="yellow"/>
        </w:rPr>
        <w:t>Dodavatel mzdy alokuje podle</w:t>
      </w:r>
      <w:r>
        <w:rPr>
          <w:highlight w:val="yellow"/>
        </w:rPr>
        <w:t xml:space="preserve"> podílu výkonů, úvazky </w:t>
      </w:r>
      <w:r w:rsidR="00AA7DC6">
        <w:rPr>
          <w:highlight w:val="yellow"/>
        </w:rPr>
        <w:t>dodavatelé uvedou</w:t>
      </w:r>
      <w:r>
        <w:rPr>
          <w:highlight w:val="yellow"/>
        </w:rPr>
        <w:t xml:space="preserve"> na minimálně dvě desetinná čísla, aby se kontrolní součty mzdových nákladů v kalkulacích jednotlivých typů vozidel shodovaly.</w:t>
      </w:r>
      <w:r>
        <w:t xml:space="preserve">  </w:t>
      </w:r>
    </w:p>
    <w:p w14:paraId="1EAE7373" w14:textId="43D8C734" w:rsidR="00C04D25" w:rsidRPr="006259B4" w:rsidRDefault="006804F9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>Manuál</w:t>
      </w:r>
      <w:r w:rsidR="00C04D25" w:rsidRPr="00F405BA">
        <w:rPr>
          <w:b/>
        </w:rPr>
        <w:t xml:space="preserve"> jednotného vzhledu vozidel: </w:t>
      </w:r>
      <w:r w:rsidR="00AA7DC6">
        <w:t>Všechna vozidla použitá k plnění smluv musí být v novém nátěru (šedo-červeném), a to i ta, která dopravce používá v PID v současné době a jsou např. v nátěru „trikolora</w:t>
      </w:r>
      <w:r w:rsidR="00AA7DC6" w:rsidRPr="006259B4">
        <w:t xml:space="preserve">“. Výjimku tvoří pouze vozidla, která vybraný dodavatel nabude z povinného odkupu. Tato vozidla mohou být použita v nátěru, v němž je vybraný dodavatel převzal, a to nejvýše po dobu 9 měsíců. Po uplynutí této doby musí být i tato vozidla uvedena do barevné úpravy souladné s Manuálem jednotného vzhledu vozidel, tj. do šedo-červeného nátěru. Náklady na úpravu dle Manuálu jednotného </w:t>
      </w:r>
      <w:r w:rsidR="00AA7DC6" w:rsidRPr="006259B4">
        <w:lastRenderedPageBreak/>
        <w:t xml:space="preserve">vzhledu vozidel vstupují do nabídkové ceny v řádku </w:t>
      </w:r>
      <w:proofErr w:type="gramStart"/>
      <w:r w:rsidR="00AA7DC6" w:rsidRPr="006259B4">
        <w:t>4d</w:t>
      </w:r>
      <w:proofErr w:type="gramEnd"/>
      <w:r w:rsidR="00AA7DC6" w:rsidRPr="006259B4">
        <w:t xml:space="preserve"> v Příloze č. 6 Zadávací dokumentace a Zadavatel upřesňuje, že budou hrazeny podílově, proto se nezapočítávají jednorázovou částkou</w:t>
      </w:r>
      <w:r w:rsidR="00FA64E8" w:rsidRPr="006259B4">
        <w:t>.</w:t>
      </w:r>
    </w:p>
    <w:p w14:paraId="258FCC0F" w14:textId="5F6F5032" w:rsidR="004603D2" w:rsidRPr="00F405BA" w:rsidRDefault="00166D61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6259B4">
        <w:rPr>
          <w:b/>
        </w:rPr>
        <w:t>Náklady na využívání</w:t>
      </w:r>
      <w:r w:rsidRPr="00F405BA">
        <w:rPr>
          <w:b/>
        </w:rPr>
        <w:t xml:space="preserve"> označníků nebo vjezdů na autobusové terminály, mýto na linkách v oblasti</w:t>
      </w:r>
      <w:r w:rsidRPr="00F405BA">
        <w:rPr>
          <w:b/>
          <w:sz w:val="28"/>
        </w:rPr>
        <w:t xml:space="preserve">: </w:t>
      </w:r>
      <w:r w:rsidRPr="00F405BA">
        <w:t xml:space="preserve">Tyto náklady nevstupují do kalkulace nabídkové ceny a dopravcům </w:t>
      </w:r>
      <w:r w:rsidR="00CE6542">
        <w:t xml:space="preserve">budou </w:t>
      </w:r>
      <w:r w:rsidRPr="00F405BA">
        <w:t xml:space="preserve">hrazeny </w:t>
      </w:r>
      <w:r w:rsidR="00654714" w:rsidRPr="00F405BA">
        <w:t>dle doložených skutečných</w:t>
      </w:r>
      <w:r w:rsidR="00F107E9" w:rsidRPr="00F405BA">
        <w:t xml:space="preserve"> </w:t>
      </w:r>
      <w:r w:rsidR="00654714" w:rsidRPr="00F405BA">
        <w:t>nákladů. Postup započítávání</w:t>
      </w:r>
      <w:r w:rsidR="00184910">
        <w:t xml:space="preserve"> nákladů</w:t>
      </w:r>
      <w:r w:rsidR="00654714" w:rsidRPr="00F405BA">
        <w:t xml:space="preserve"> je uveden v Závazných návrzích smluv.</w:t>
      </w:r>
    </w:p>
    <w:p w14:paraId="189427A7" w14:textId="318F6DDD" w:rsidR="00F107E9" w:rsidRDefault="00F107E9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  <w:rPr>
          <w:i/>
        </w:rPr>
      </w:pPr>
      <w:r w:rsidRPr="00F405BA">
        <w:rPr>
          <w:b/>
        </w:rPr>
        <w:t>Indexace nákladových položek:</w:t>
      </w:r>
      <w:r w:rsidRPr="00F405BA">
        <w:t xml:space="preserve"> </w:t>
      </w:r>
      <w:r w:rsidR="00850DCC" w:rsidRPr="00F405BA">
        <w:t xml:space="preserve">Nabídková cena se zpracovává ve stálých cenách roku 2021. K datu </w:t>
      </w:r>
      <w:r w:rsidR="00667C70">
        <w:t>Z</w:t>
      </w:r>
      <w:r w:rsidR="00850DCC" w:rsidRPr="00F405BA">
        <w:t xml:space="preserve">ahájení </w:t>
      </w:r>
      <w:r w:rsidR="00667C70">
        <w:t>provozu</w:t>
      </w:r>
      <w:r w:rsidR="00850DCC" w:rsidRPr="00F405BA">
        <w:t xml:space="preserve"> bude</w:t>
      </w:r>
      <w:r w:rsidR="00667C70">
        <w:t xml:space="preserve"> cena</w:t>
      </w:r>
      <w:r w:rsidR="00850DCC" w:rsidRPr="00F405BA">
        <w:t xml:space="preserve"> indexována p</w:t>
      </w:r>
      <w:r w:rsidRPr="00F405BA">
        <w:t>ostup</w:t>
      </w:r>
      <w:r w:rsidR="00850DCC" w:rsidRPr="00F405BA">
        <w:t>em uvedeným</w:t>
      </w:r>
      <w:r w:rsidRPr="00F405BA">
        <w:t xml:space="preserve"> v Příloze č. 6</w:t>
      </w:r>
      <w:r w:rsidR="009732A3" w:rsidRPr="00F405BA">
        <w:t xml:space="preserve"> Zadávací dokumentace</w:t>
      </w:r>
      <w:r w:rsidRPr="00F405BA">
        <w:t>. První indexace budou vypočteny kumulativně, následně bude provedena každoroční indexace podle jednotlivých nákladových položek. Zadavatel také zav</w:t>
      </w:r>
      <w:r w:rsidR="009732A3" w:rsidRPr="00F405BA">
        <w:t>e</w:t>
      </w:r>
      <w:r w:rsidRPr="00F405BA">
        <w:t>d</w:t>
      </w:r>
      <w:r w:rsidR="009732A3" w:rsidRPr="00F405BA">
        <w:t>l</w:t>
      </w:r>
      <w:r w:rsidRPr="00F405BA">
        <w:t xml:space="preserve"> průběžnou indexaci nákladů na pohonná média. Zadavatel si </w:t>
      </w:r>
      <w:r w:rsidR="00667C70">
        <w:t>je vědom požadavků na</w:t>
      </w:r>
      <w:r w:rsidRPr="00F405BA">
        <w:t xml:space="preserve"> sociálně spravedlivé zadávání</w:t>
      </w:r>
      <w:r w:rsidR="009732A3" w:rsidRPr="00F405BA">
        <w:t>,</w:t>
      </w:r>
      <w:r w:rsidRPr="00F405BA">
        <w:t xml:space="preserve"> a tak zapracoval do </w:t>
      </w:r>
      <w:r w:rsidR="009732A3" w:rsidRPr="00F405BA">
        <w:t>Z</w:t>
      </w:r>
      <w:r w:rsidRPr="00F405BA">
        <w:t>ávazn</w:t>
      </w:r>
      <w:r w:rsidR="009732A3" w:rsidRPr="00F405BA">
        <w:t>ýc</w:t>
      </w:r>
      <w:r w:rsidRPr="00F405BA">
        <w:t>h návrh</w:t>
      </w:r>
      <w:r w:rsidR="009732A3" w:rsidRPr="00F405BA">
        <w:t>ů</w:t>
      </w:r>
      <w:r w:rsidRPr="00F405BA">
        <w:t xml:space="preserve"> smluv možnost úprav nákladových položek jako vyhrazenou změnu smluv. Tento postup je uveden v</w:t>
      </w:r>
      <w:r w:rsidR="009732A3" w:rsidRPr="00F405BA">
        <w:t> </w:t>
      </w:r>
      <w:r w:rsidRPr="00F405BA">
        <w:t>čl</w:t>
      </w:r>
      <w:r w:rsidR="009732A3" w:rsidRPr="00F405BA">
        <w:t>.</w:t>
      </w:r>
      <w:r w:rsidRPr="00F405BA">
        <w:t xml:space="preserve"> VII</w:t>
      </w:r>
      <w:r w:rsidR="009732A3" w:rsidRPr="00F405BA">
        <w:t xml:space="preserve"> </w:t>
      </w:r>
      <w:r w:rsidRPr="00F405BA">
        <w:t>odst. 8</w:t>
      </w:r>
      <w:r w:rsidR="009732A3" w:rsidRPr="00F405BA">
        <w:t xml:space="preserve"> Závazných návrhů smluv</w:t>
      </w:r>
      <w:r w:rsidRPr="00F405BA">
        <w:t>:</w:t>
      </w:r>
      <w:r w:rsidRPr="00F405BA">
        <w:rPr>
          <w:i/>
        </w:rPr>
        <w:t xml:space="preserve"> „</w:t>
      </w:r>
      <w:r w:rsidR="0055154B" w:rsidRPr="0055154B">
        <w:rPr>
          <w:i/>
        </w:rPr>
        <w:t>V případě, že by se náklady na příslušnou nákladovou položku výrazně odchýlily od indexu přiřazeného k příslušné nákladové položce dle přílohy č. 6 této Smlouvy, zavazují se smluvní strany vstoupit v jednání za účelem nahradit příslušný index jiným indexem více odpovídajícím změnám těchto nákladů v čase. V případě, že by se náklady na příslušnou nákladovou položku výrazně odchylovaly v čase výrazně častěji, než v jakém období předpokládá indexaci příslušné nákladové položky příloha č. 6 této Smlouvy, může dojít ke zkrácení období indexace. Za situace, kdy by byl ze strany Českého statistického úřadu (dále jen „</w:t>
      </w:r>
      <w:r w:rsidR="0055154B" w:rsidRPr="0055154B">
        <w:rPr>
          <w:b/>
          <w:bCs/>
          <w:i/>
        </w:rPr>
        <w:t>ČSÚ</w:t>
      </w:r>
      <w:r w:rsidR="0055154B" w:rsidRPr="0055154B">
        <w:rPr>
          <w:i/>
        </w:rPr>
        <w:t>“) nebo jiné obdobně významné instituce zaveden nový index, který by více odpovídal změnám nákladů v příslušné nákladové položce v čase (např. namísto oborových mezd v odvětví Doprava a skladování zavede ČSÚ index pouze pro odvětví Doprava), zavazují se smluvní strany vstoupit v jednání za účelem nahradit příslušný index tímto jiným indexem více odpovídajícím změnám těchto nákladů v čase.</w:t>
      </w:r>
      <w:r w:rsidRPr="00F405BA">
        <w:rPr>
          <w:i/>
        </w:rPr>
        <w:t>“</w:t>
      </w:r>
    </w:p>
    <w:p w14:paraId="667694F2" w14:textId="51E06AAF" w:rsidR="00FA64E8" w:rsidRDefault="00FA64E8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>
        <w:rPr>
          <w:b/>
          <w:highlight w:val="yellow"/>
        </w:rPr>
        <w:t xml:space="preserve">Přesnost zadávaných údajů: </w:t>
      </w:r>
      <w:r>
        <w:rPr>
          <w:highlight w:val="yellow"/>
        </w:rPr>
        <w:t xml:space="preserve">Pokud je v příloze č. </w:t>
      </w:r>
      <w:r w:rsidR="00AA7DC6">
        <w:rPr>
          <w:highlight w:val="yellow"/>
        </w:rPr>
        <w:t>6 Zadávací dokumentace</w:t>
      </w:r>
      <w:r>
        <w:rPr>
          <w:highlight w:val="yellow"/>
        </w:rPr>
        <w:t xml:space="preserve"> u některého údaje požadováno uvedení přesnosti na více desetinných čísel a </w:t>
      </w:r>
      <w:r w:rsidR="00152AEE">
        <w:rPr>
          <w:highlight w:val="yellow"/>
        </w:rPr>
        <w:t>dodavatelem</w:t>
      </w:r>
      <w:r>
        <w:rPr>
          <w:highlight w:val="yellow"/>
        </w:rPr>
        <w:t xml:space="preserve"> uvedený údaj se kvůli přednastavenému formátu zobrazuje s jiným počtem desetinných míst je tato podmínka splněna, pokud se číslo s požadovaným počtem desetinných míst zobrazí. Obdobně </w:t>
      </w:r>
      <w:r w:rsidR="00152AEE">
        <w:rPr>
          <w:highlight w:val="yellow"/>
        </w:rPr>
        <w:t>dodavatelé</w:t>
      </w:r>
      <w:r>
        <w:rPr>
          <w:highlight w:val="yellow"/>
        </w:rPr>
        <w:t xml:space="preserve"> m</w:t>
      </w:r>
      <w:r w:rsidR="00152AEE">
        <w:rPr>
          <w:highlight w:val="yellow"/>
        </w:rPr>
        <w:t>ohou</w:t>
      </w:r>
      <w:r>
        <w:rPr>
          <w:highlight w:val="yellow"/>
        </w:rPr>
        <w:t xml:space="preserve"> nalézt např. výkonové údaje, které se mohou zobrazovat s různým počtem desetinných míst. Tabulky </w:t>
      </w:r>
      <w:r w:rsidR="00152AEE">
        <w:rPr>
          <w:highlight w:val="yellow"/>
        </w:rPr>
        <w:t xml:space="preserve">v příloze č. 6 Zadávací dokumentace </w:t>
      </w:r>
      <w:r>
        <w:rPr>
          <w:highlight w:val="yellow"/>
        </w:rPr>
        <w:t>nejsou zamčené a nejsou nastaveny na výpočet s přesností podle zobrazení, proto lze tyto údaje vždy identifikovat shodně např. zobrazením vyššího počtu desetinných míst.</w:t>
      </w:r>
    </w:p>
    <w:p w14:paraId="4E2D3006" w14:textId="2940B957" w:rsidR="00FA64E8" w:rsidRDefault="00FA64E8" w:rsidP="00FA64E8">
      <w:pPr>
        <w:keepNext/>
        <w:autoSpaceDE w:val="0"/>
        <w:autoSpaceDN w:val="0"/>
        <w:adjustRightInd w:val="0"/>
        <w:jc w:val="both"/>
      </w:pPr>
      <w:r>
        <w:rPr>
          <w:b/>
          <w:highlight w:val="yellow"/>
        </w:rPr>
        <w:t>Zamykání nabídky:</w:t>
      </w:r>
      <w:r>
        <w:rPr>
          <w:highlight w:val="yellow"/>
        </w:rPr>
        <w:t xml:space="preserve"> Zadavatel </w:t>
      </w:r>
      <w:r w:rsidR="00A8358C">
        <w:rPr>
          <w:highlight w:val="yellow"/>
        </w:rPr>
        <w:t>žádá dodavatele, aby nezamykali jednotlivé soubory nabídky, zejména pak přílohu č. 6 Zadávací dokumentace (Formulář pro zpracování nabídkové ceny)</w:t>
      </w:r>
      <w:r>
        <w:rPr>
          <w:highlight w:val="yellow"/>
        </w:rPr>
        <w:t xml:space="preserve">. Nabídka se podává elektronicky prostřednictvím certifikovaných nástrojů zadavatelů (TENDER ARENA, E-ZAK) a její autenticita a neměnnost je zaručena. </w:t>
      </w:r>
    </w:p>
    <w:p w14:paraId="5BB0BDE0" w14:textId="3D5F779D" w:rsidR="00E21E92" w:rsidRPr="00F405BA" w:rsidRDefault="00E21E92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Vyhrazené změny smlouvy</w:t>
      </w:r>
    </w:p>
    <w:p w14:paraId="26711125" w14:textId="7E50420A" w:rsidR="00E21E92" w:rsidRPr="00F405BA" w:rsidRDefault="00E21E92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>Vyhrazené změny smlouvy</w:t>
      </w:r>
      <w:r w:rsidRPr="00F405BA">
        <w:t xml:space="preserve"> </w:t>
      </w:r>
      <w:r w:rsidRPr="00F405BA">
        <w:rPr>
          <w:b/>
        </w:rPr>
        <w:t>nejsou předmětem kalkulace nabídkové ceny</w:t>
      </w:r>
      <w:r w:rsidRPr="00F405BA">
        <w:t xml:space="preserve"> a v případě jejich aktivace budou hrazeny buď na základě specifických kalkulačních postupů uvedených např. v </w:t>
      </w:r>
      <w:r w:rsidR="002F6B44" w:rsidRPr="00F405BA">
        <w:t>P</w:t>
      </w:r>
      <w:r w:rsidRPr="00F405BA">
        <w:t xml:space="preserve">řílohách </w:t>
      </w:r>
      <w:r w:rsidR="009732A3" w:rsidRPr="00F405BA">
        <w:t>č. 4</w:t>
      </w:r>
      <w:r w:rsidR="002F6B44" w:rsidRPr="00F405BA">
        <w:t>a</w:t>
      </w:r>
      <w:r w:rsidR="009732A3" w:rsidRPr="00F405BA">
        <w:t xml:space="preserve"> nebo </w:t>
      </w:r>
      <w:proofErr w:type="gramStart"/>
      <w:r w:rsidR="009732A3" w:rsidRPr="00F405BA">
        <w:t>4b</w:t>
      </w:r>
      <w:proofErr w:type="gramEnd"/>
      <w:r w:rsidR="009732A3" w:rsidRPr="00F405BA">
        <w:t xml:space="preserve"> </w:t>
      </w:r>
      <w:r w:rsidRPr="00F405BA">
        <w:t>Závazných návrhů smluv nebo jsou doloženy v sou</w:t>
      </w:r>
      <w:r w:rsidR="009951AF" w:rsidRPr="00F405BA">
        <w:t>la</w:t>
      </w:r>
      <w:r w:rsidRPr="00F405BA">
        <w:t>du se Závaznými návrhy smluv jako ostatní náklady systému. Zadavatel upozorňuje, že vyhrazené změny smluv nemusí být realizovány všechny</w:t>
      </w:r>
      <w:r w:rsidR="002F6B44" w:rsidRPr="00F405BA">
        <w:t xml:space="preserve"> </w:t>
      </w:r>
      <w:r w:rsidR="002F6B44" w:rsidRPr="00F405BA">
        <w:lastRenderedPageBreak/>
        <w:t>a n</w:t>
      </w:r>
      <w:r w:rsidRPr="00F405BA">
        <w:t>emusí být v pořadí uvedeném v</w:t>
      </w:r>
      <w:r w:rsidR="002F6B44" w:rsidRPr="00F405BA">
        <w:t xml:space="preserve"> Závazných návrzích smluv </w:t>
      </w:r>
      <w:r w:rsidRPr="00F405BA">
        <w:t xml:space="preserve">nebo v příslušných přílohách </w:t>
      </w:r>
      <w:r w:rsidR="002F6B44" w:rsidRPr="00F405BA">
        <w:t>Závazných návrzích smluv</w:t>
      </w:r>
      <w:r w:rsidRPr="00F405BA">
        <w:t xml:space="preserve"> (např. Přílo</w:t>
      </w:r>
      <w:r w:rsidR="002F6B44" w:rsidRPr="00F405BA">
        <w:t>ze</w:t>
      </w:r>
      <w:r w:rsidRPr="00F405BA">
        <w:t xml:space="preserve"> č. 1) nebo nemusí být realizovány vůbec. </w:t>
      </w:r>
    </w:p>
    <w:p w14:paraId="7F4C1189" w14:textId="77777777" w:rsidR="00C04D25" w:rsidRPr="00F405BA" w:rsidRDefault="00C04D25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Úpravy jízdních řádů v průběhu plněn</w:t>
      </w:r>
      <w:r w:rsidR="007D48C2" w:rsidRPr="00F405BA">
        <w:rPr>
          <w:b/>
          <w:szCs w:val="18"/>
        </w:rPr>
        <w:t>í smlouvy</w:t>
      </w:r>
    </w:p>
    <w:p w14:paraId="2449C05D" w14:textId="5D646EF0" w:rsidR="00E46C64" w:rsidRPr="00F405BA" w:rsidRDefault="00E46C64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 xml:space="preserve">Příprava Závazného jízdního řádu: </w:t>
      </w:r>
      <w:r w:rsidRPr="00F405BA">
        <w:t xml:space="preserve">Proces přípravy každé změny jízdních řádů začíná tím, že je </w:t>
      </w:r>
      <w:r w:rsidR="00AC15A0">
        <w:t>d</w:t>
      </w:r>
      <w:r w:rsidRPr="00F405BA">
        <w:t>opravci zaslán návrh upravovaného jízdního řádu včetně návrhu oběhů vozidel. Dopravce ve svém systému kontroluje realizovatelnost návrhu a pošle organizátorům své vyjádření, případně se dohodnou potřebné úpravy. Poté je dopravci zaslán Závazný jízdní řád, který je však již s </w:t>
      </w:r>
      <w:r w:rsidR="00AC15A0">
        <w:t>d</w:t>
      </w:r>
      <w:r w:rsidRPr="00F405BA">
        <w:t xml:space="preserve">opravcem projednán. Pokud je pro navrhovanou změnu potřeba další vozidlo, je součástí projednání i </w:t>
      </w:r>
      <w:r w:rsidR="002F6B44" w:rsidRPr="00F405BA">
        <w:t>postup,</w:t>
      </w:r>
      <w:r w:rsidRPr="00F405BA">
        <w:t xml:space="preserve"> jak se zajistí vozidlo</w:t>
      </w:r>
      <w:r w:rsidR="002F6B44" w:rsidRPr="00F405BA">
        <w:t>.</w:t>
      </w:r>
      <w:r w:rsidRPr="00F405BA">
        <w:t xml:space="preserve"> Tento postup je zakotven </w:t>
      </w:r>
      <w:r w:rsidR="00387FCE" w:rsidRPr="00F405BA">
        <w:t xml:space="preserve">v </w:t>
      </w:r>
      <w:r w:rsidR="00BE69EF" w:rsidRPr="00F405BA">
        <w:t>čl.</w:t>
      </w:r>
      <w:r w:rsidRPr="00F405BA">
        <w:t xml:space="preserve"> II odst. 2</w:t>
      </w:r>
      <w:r w:rsidR="00BE69EF" w:rsidRPr="00F405BA">
        <w:t>, písm.</w:t>
      </w:r>
      <w:r w:rsidRPr="00F405BA">
        <w:t xml:space="preserve"> a</w:t>
      </w:r>
      <w:r w:rsidR="00387FCE" w:rsidRPr="00F405BA">
        <w:t>)</w:t>
      </w:r>
      <w:r w:rsidRPr="00F405BA">
        <w:t xml:space="preserve"> až d</w:t>
      </w:r>
      <w:r w:rsidR="00387FCE" w:rsidRPr="00F405BA">
        <w:t>) Smlouvy o službách (Příloha č. 15 Závazných návrhů smluv).</w:t>
      </w:r>
    </w:p>
    <w:p w14:paraId="59D1552C" w14:textId="00F6378D" w:rsidR="00E21E92" w:rsidRPr="00F405BA" w:rsidRDefault="00E46C64" w:rsidP="007E4087">
      <w:pPr>
        <w:keepNext/>
        <w:autoSpaceDE w:val="0"/>
        <w:autoSpaceDN w:val="0"/>
        <w:adjustRightInd w:val="0"/>
        <w:spacing w:before="120" w:after="240" w:line="276" w:lineRule="auto"/>
        <w:jc w:val="both"/>
      </w:pPr>
      <w:r w:rsidRPr="00F405BA">
        <w:t>Závazný jízdní řád je</w:t>
      </w:r>
      <w:r w:rsidR="00387FCE" w:rsidRPr="00F405BA">
        <w:t xml:space="preserve"> ve své podstatě</w:t>
      </w:r>
      <w:r w:rsidRPr="00F405BA">
        <w:t xml:space="preserve"> již oboustranně projednan</w:t>
      </w:r>
      <w:r w:rsidR="00387FCE" w:rsidRPr="00F405BA">
        <w:t>ý</w:t>
      </w:r>
      <w:r w:rsidRPr="00F405BA">
        <w:t xml:space="preserve"> a odsouhlasen</w:t>
      </w:r>
      <w:r w:rsidR="00387FCE" w:rsidRPr="00F405BA">
        <w:t>ý</w:t>
      </w:r>
      <w:r w:rsidRPr="00F405BA">
        <w:t xml:space="preserve"> </w:t>
      </w:r>
      <w:r w:rsidR="00387FCE" w:rsidRPr="00F405BA">
        <w:t>dokument</w:t>
      </w:r>
      <w:r w:rsidRPr="00F405BA">
        <w:t>. Proto je v čl. III odst. 8</w:t>
      </w:r>
      <w:r w:rsidR="00387FCE" w:rsidRPr="00F405BA">
        <w:t xml:space="preserve"> Závazných návrhů smluv</w:t>
      </w:r>
      <w:r w:rsidRPr="00F405BA">
        <w:t xml:space="preserve"> stanovena lhůta 30 dnů, která je pro další procesní kroky dostačující.</w:t>
      </w:r>
    </w:p>
    <w:p w14:paraId="4EBD6D46" w14:textId="77777777" w:rsidR="00EE6CB2" w:rsidRPr="00F405BA" w:rsidRDefault="00EE6CB2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Vyrozumění dopravců ohledně zjištěných závad</w:t>
      </w:r>
    </w:p>
    <w:p w14:paraId="7A7B5475" w14:textId="412092AE" w:rsidR="00BB7246" w:rsidRPr="00F405BA" w:rsidRDefault="00EE6CB2" w:rsidP="007E4087">
      <w:pPr>
        <w:autoSpaceDE w:val="0"/>
        <w:autoSpaceDN w:val="0"/>
        <w:adjustRightInd w:val="0"/>
        <w:spacing w:before="120" w:after="120" w:line="276" w:lineRule="auto"/>
        <w:jc w:val="both"/>
        <w:rPr>
          <w:iCs/>
        </w:rPr>
      </w:pPr>
      <w:r w:rsidRPr="00F405BA">
        <w:rPr>
          <w:iCs/>
        </w:rPr>
        <w:t>Podle ustanovení čl. XX odst. 5</w:t>
      </w:r>
      <w:r w:rsidR="00BB7246" w:rsidRPr="00F405BA">
        <w:rPr>
          <w:iCs/>
        </w:rPr>
        <w:t xml:space="preserve"> </w:t>
      </w:r>
      <w:r w:rsidR="00BB7246" w:rsidRPr="00F405BA">
        <w:t>Závazných návrhů smluv</w:t>
      </w:r>
      <w:r w:rsidRPr="00F405BA">
        <w:rPr>
          <w:iCs/>
        </w:rPr>
        <w:t xml:space="preserve"> obdrží </w:t>
      </w:r>
      <w:r w:rsidR="00AC15A0">
        <w:rPr>
          <w:iCs/>
        </w:rPr>
        <w:t>d</w:t>
      </w:r>
      <w:r w:rsidRPr="00F405BA">
        <w:rPr>
          <w:iCs/>
        </w:rPr>
        <w:t xml:space="preserve">opravce </w:t>
      </w:r>
      <w:r w:rsidR="00AC15A0">
        <w:rPr>
          <w:iCs/>
        </w:rPr>
        <w:t>s</w:t>
      </w:r>
      <w:r w:rsidRPr="00F405BA">
        <w:rPr>
          <w:iCs/>
        </w:rPr>
        <w:t xml:space="preserve">lužební hlášení o zjištěných závadách </w:t>
      </w:r>
      <w:r w:rsidRPr="00304612">
        <w:rPr>
          <w:iCs/>
        </w:rPr>
        <w:t>v elektronické podobě do 3 pracovních dnů</w:t>
      </w:r>
      <w:r w:rsidRPr="00F405BA">
        <w:rPr>
          <w:iCs/>
        </w:rPr>
        <w:t xml:space="preserve">. V případě společné provozní kontroly s přepravní kontrolou cestujících Objednatel vedle služebního hlášení </w:t>
      </w:r>
      <w:r w:rsidR="00AC15A0">
        <w:rPr>
          <w:iCs/>
        </w:rPr>
        <w:t>dopravc</w:t>
      </w:r>
      <w:r w:rsidRPr="00F405BA">
        <w:rPr>
          <w:iCs/>
        </w:rPr>
        <w:t xml:space="preserve">i zašle také hlášení o provedené přepravní kontrole obsahující výsledek kontroly jízdních dokladů cestujících. Dále je </w:t>
      </w:r>
      <w:r w:rsidR="00AC15A0">
        <w:rPr>
          <w:iCs/>
        </w:rPr>
        <w:t>dopravc</w:t>
      </w:r>
      <w:r w:rsidRPr="00F405BA">
        <w:rPr>
          <w:iCs/>
        </w:rPr>
        <w:t xml:space="preserve">e průběžně (zpravidla 1x týdně) souhrnně informován o výsledcích měření standardů kvality v příslušném uplynulém období ve formě elektronicky rozesílané tabulky plnění vybraných ukazatelů. Prodloužení období do maximální lhůty 60 dnů vyplývá z případných námitek </w:t>
      </w:r>
      <w:r w:rsidR="00BB7246" w:rsidRPr="00F405BA">
        <w:rPr>
          <w:iCs/>
        </w:rPr>
        <w:t>d</w:t>
      </w:r>
      <w:r w:rsidRPr="00F405BA">
        <w:rPr>
          <w:iCs/>
        </w:rPr>
        <w:t xml:space="preserve">opravce a jejich vypořádání. Ve lhůtě 60 dnů </w:t>
      </w:r>
      <w:r w:rsidR="00BB7246" w:rsidRPr="00F405BA">
        <w:rPr>
          <w:iCs/>
        </w:rPr>
        <w:t>Zadavatel</w:t>
      </w:r>
      <w:r w:rsidRPr="00F405BA">
        <w:rPr>
          <w:iCs/>
        </w:rPr>
        <w:t xml:space="preserve"> rozesíl</w:t>
      </w:r>
      <w:r w:rsidR="00BB7246" w:rsidRPr="00F405BA">
        <w:rPr>
          <w:iCs/>
        </w:rPr>
        <w:t>á</w:t>
      </w:r>
      <w:r w:rsidRPr="00F405BA">
        <w:rPr>
          <w:iCs/>
        </w:rPr>
        <w:t xml:space="preserve"> souhrnné údaje včetně uložených sankcí s vypořádanými případnými námitkami. </w:t>
      </w:r>
    </w:p>
    <w:p w14:paraId="7CB8494B" w14:textId="0F2A4F87" w:rsidR="00EE6CB2" w:rsidRPr="00F405BA" w:rsidRDefault="00AC15A0" w:rsidP="007E4087">
      <w:pPr>
        <w:autoSpaceDE w:val="0"/>
        <w:autoSpaceDN w:val="0"/>
        <w:adjustRightInd w:val="0"/>
        <w:spacing w:before="120" w:after="120" w:line="276" w:lineRule="auto"/>
        <w:jc w:val="both"/>
        <w:rPr>
          <w:iCs/>
        </w:rPr>
      </w:pPr>
      <w:r>
        <w:rPr>
          <w:iCs/>
        </w:rPr>
        <w:t>Dopravc</w:t>
      </w:r>
      <w:r w:rsidR="00EE6CB2" w:rsidRPr="00F405BA">
        <w:rPr>
          <w:iCs/>
        </w:rPr>
        <w:t xml:space="preserve">e má tak dostatek podkladů k zahájení šetření nahlášených závad, případně šetření škodní komise. Lhůtu 60 dnů </w:t>
      </w:r>
      <w:r w:rsidR="00BB7246" w:rsidRPr="00F405BA">
        <w:rPr>
          <w:iCs/>
        </w:rPr>
        <w:t>Zadavatel</w:t>
      </w:r>
      <w:r w:rsidR="00EE6CB2" w:rsidRPr="00F405BA">
        <w:rPr>
          <w:iCs/>
        </w:rPr>
        <w:t xml:space="preserve"> nezmění, </w:t>
      </w:r>
      <w:r>
        <w:rPr>
          <w:iCs/>
        </w:rPr>
        <w:t>dopravc</w:t>
      </w:r>
      <w:r w:rsidR="00EE6CB2" w:rsidRPr="00F405BA">
        <w:rPr>
          <w:iCs/>
        </w:rPr>
        <w:t>e je o porušení plnění smlouvy zpraven do třech pracovních dnů</w:t>
      </w:r>
      <w:r w:rsidR="00EE6CB2" w:rsidRPr="00F405BA">
        <w:rPr>
          <w:b/>
          <w:bCs/>
          <w:iCs/>
        </w:rPr>
        <w:t xml:space="preserve"> </w:t>
      </w:r>
      <w:r w:rsidR="00EE6CB2" w:rsidRPr="00F405BA">
        <w:rPr>
          <w:iCs/>
        </w:rPr>
        <w:t xml:space="preserve">po vzniku závady a má možnost se na šetření s dotčeným personálem zaměřit. </w:t>
      </w:r>
    </w:p>
    <w:p w14:paraId="12D78561" w14:textId="77777777" w:rsidR="00E21E92" w:rsidRPr="00F405BA" w:rsidRDefault="00E21E92" w:rsidP="007E4087">
      <w:pPr>
        <w:pStyle w:val="Odstavecseseznamem"/>
        <w:keepNext/>
        <w:numPr>
          <w:ilvl w:val="0"/>
          <w:numId w:val="1"/>
        </w:numPr>
        <w:spacing w:before="240" w:after="120" w:line="276" w:lineRule="auto"/>
        <w:ind w:left="714" w:hanging="357"/>
        <w:contextualSpacing w:val="0"/>
        <w:jc w:val="both"/>
        <w:rPr>
          <w:b/>
          <w:szCs w:val="18"/>
        </w:rPr>
      </w:pPr>
      <w:r w:rsidRPr="00F405BA">
        <w:rPr>
          <w:b/>
          <w:szCs w:val="18"/>
        </w:rPr>
        <w:t>Zaměstnanecké jízdné</w:t>
      </w:r>
    </w:p>
    <w:p w14:paraId="00AFD575" w14:textId="2651691B" w:rsidR="004A0832" w:rsidRPr="00F405BA" w:rsidRDefault="00EE6CB2" w:rsidP="007E4087">
      <w:pPr>
        <w:pStyle w:val="Odstavec1"/>
        <w:numPr>
          <w:ilvl w:val="0"/>
          <w:numId w:val="0"/>
        </w:numPr>
        <w:spacing w:before="120" w:after="24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Přestože smlouvy uzavřené s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 vybranými dodavateli</w:t>
      </w:r>
      <w:r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jsou brutto smlouvy 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souhlasí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aby na 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říměstských linkách dle 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PID provozovaných 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dopravc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em 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platilo zaměstnanecké jízdné. Podmínky a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okruh osob majícíc</w:t>
      </w:r>
      <w:r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h nárok na zaměstnanecké jízdné 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stanoví 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Z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 projednání s 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dopravc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em.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Zadavatel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předpokládá poskytnutí zaměstnaneckého jízdného pro řidiče a dispečery 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dopravc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 na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říměstských linkách PID na celém území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Hlavního města Prahy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S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tředočeského kraje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na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inkách PID v pásmu P mimo vlaky a link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y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Airport</w:t>
      </w:r>
      <w:proofErr w:type="spellEnd"/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Express. V průběhu trvání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s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mlouvy je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Zadavatel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oprávněn podmínky a okruh osob majících nárok na zaměstnanecké jízdné upravit zejména s ohledem na finanční možnosti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Zadavatele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50E4B555" w14:textId="0CC1E8CD" w:rsidR="0050544A" w:rsidRPr="00F405BA" w:rsidRDefault="0050544A" w:rsidP="007E4087">
      <w:pPr>
        <w:pStyle w:val="Odstavecseseznamem"/>
        <w:keepNext/>
        <w:numPr>
          <w:ilvl w:val="0"/>
          <w:numId w:val="1"/>
        </w:numPr>
        <w:spacing w:before="240" w:after="120" w:line="276" w:lineRule="auto"/>
        <w:ind w:left="714" w:hanging="357"/>
        <w:contextualSpacing w:val="0"/>
        <w:jc w:val="both"/>
        <w:rPr>
          <w:b/>
          <w:szCs w:val="18"/>
        </w:rPr>
      </w:pPr>
      <w:r w:rsidRPr="00F405BA">
        <w:rPr>
          <w:b/>
          <w:szCs w:val="18"/>
        </w:rPr>
        <w:lastRenderedPageBreak/>
        <w:t xml:space="preserve">Změněná ustanovení </w:t>
      </w:r>
      <w:r w:rsidR="00066828">
        <w:rPr>
          <w:b/>
          <w:szCs w:val="18"/>
        </w:rPr>
        <w:t xml:space="preserve">v Závazných návrzích smluv </w:t>
      </w:r>
      <w:r w:rsidRPr="00F405BA">
        <w:rPr>
          <w:b/>
          <w:szCs w:val="18"/>
        </w:rPr>
        <w:t xml:space="preserve">v první vlně ke dni zahájení </w:t>
      </w:r>
      <w:r w:rsidR="007E4087">
        <w:rPr>
          <w:b/>
          <w:szCs w:val="18"/>
        </w:rPr>
        <w:t xml:space="preserve">tohoto </w:t>
      </w:r>
      <w:r w:rsidRPr="00F405BA">
        <w:rPr>
          <w:b/>
          <w:szCs w:val="18"/>
        </w:rPr>
        <w:t>zadávacího řízení veřejné zakázky</w:t>
      </w:r>
    </w:p>
    <w:p w14:paraId="08F575B4" w14:textId="3AC6D0CF" w:rsidR="0050544A" w:rsidRPr="00F405BA" w:rsidRDefault="0050544A" w:rsidP="006C2207">
      <w:pPr>
        <w:pStyle w:val="Odstavecseseznamem"/>
        <w:keepNext/>
        <w:numPr>
          <w:ilvl w:val="0"/>
          <w:numId w:val="5"/>
        </w:numPr>
        <w:spacing w:line="276" w:lineRule="auto"/>
        <w:ind w:left="714" w:hanging="357"/>
        <w:jc w:val="both"/>
      </w:pPr>
      <w:r w:rsidRPr="00F405BA">
        <w:t>čl. VII odst. 1</w:t>
      </w:r>
      <w:r w:rsidR="00066828">
        <w:t xml:space="preserve"> - změněn</w:t>
      </w:r>
    </w:p>
    <w:p w14:paraId="4BB12DF1" w14:textId="2B62B175" w:rsidR="0050544A" w:rsidRPr="00F405BA" w:rsidRDefault="0050544A" w:rsidP="006C2207">
      <w:pPr>
        <w:pStyle w:val="Odstavecseseznamem"/>
        <w:keepNext/>
        <w:numPr>
          <w:ilvl w:val="0"/>
          <w:numId w:val="5"/>
        </w:numPr>
        <w:spacing w:line="276" w:lineRule="auto"/>
        <w:ind w:left="714" w:hanging="357"/>
        <w:jc w:val="both"/>
      </w:pPr>
      <w:r w:rsidRPr="00F405BA">
        <w:t>čl. VII odst. 9</w:t>
      </w:r>
      <w:r w:rsidR="00066828">
        <w:t xml:space="preserve"> - změněn</w:t>
      </w:r>
    </w:p>
    <w:p w14:paraId="673C4F30" w14:textId="326314C4" w:rsidR="0050544A" w:rsidRPr="00F405BA" w:rsidRDefault="0050544A" w:rsidP="007E4087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F405BA">
        <w:t xml:space="preserve">čl. VII odst. 5 </w:t>
      </w:r>
      <w:r w:rsidR="00066828">
        <w:t>- změněn</w:t>
      </w:r>
    </w:p>
    <w:p w14:paraId="121447BA" w14:textId="1E205ED9" w:rsidR="0050544A" w:rsidRPr="00F405BA" w:rsidRDefault="0050544A" w:rsidP="007E4087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F405BA">
        <w:t xml:space="preserve">čl. XIII odst. 15 </w:t>
      </w:r>
      <w:r w:rsidR="003C53DB" w:rsidRPr="00F405BA">
        <w:t>- odstraněn</w:t>
      </w:r>
    </w:p>
    <w:sectPr w:rsidR="0050544A" w:rsidRPr="00F405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8607" w14:textId="77777777" w:rsidR="00882536" w:rsidRDefault="00882536" w:rsidP="008D7B12">
      <w:pPr>
        <w:spacing w:after="0" w:line="240" w:lineRule="auto"/>
      </w:pPr>
      <w:r>
        <w:separator/>
      </w:r>
    </w:p>
  </w:endnote>
  <w:endnote w:type="continuationSeparator" w:id="0">
    <w:p w14:paraId="767EEB09" w14:textId="77777777" w:rsidR="00882536" w:rsidRDefault="00882536" w:rsidP="008D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2A0E" w14:textId="7C29824B" w:rsidR="008D7B12" w:rsidRPr="008D7B12" w:rsidRDefault="008D7B12">
    <w:pPr>
      <w:pStyle w:val="Zpat"/>
      <w:rPr>
        <w:rFonts w:ascii="Calibri" w:hAnsi="Calibri"/>
      </w:rPr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6B5D29">
      <w:rPr>
        <w:rFonts w:ascii="Calibri" w:hAnsi="Calibri"/>
        <w:szCs w:val="20"/>
      </w:rPr>
      <w:t>–</w:t>
    </w:r>
    <w:r w:rsidRPr="00A4713D">
      <w:rPr>
        <w:rFonts w:ascii="Calibri" w:hAnsi="Calibri"/>
        <w:szCs w:val="20"/>
      </w:rPr>
      <w:t xml:space="preserve"> </w:t>
    </w:r>
    <w:r w:rsidRPr="00DE307D">
      <w:rPr>
        <w:rFonts w:ascii="Calibri" w:hAnsi="Calibri"/>
        <w:szCs w:val="20"/>
      </w:rPr>
      <w:t xml:space="preserve">příloha č. </w:t>
    </w:r>
    <w:r w:rsidR="009732A3">
      <w:rPr>
        <w:rFonts w:ascii="Calibri" w:hAnsi="Calibri"/>
        <w:szCs w:val="20"/>
      </w:rPr>
      <w:t>15</w:t>
    </w:r>
    <w:r>
      <w:rPr>
        <w:rFonts w:ascii="Calibri" w:hAnsi="Calibri"/>
        <w:szCs w:val="20"/>
      </w:rPr>
      <w:tab/>
    </w:r>
    <w:r>
      <w:rPr>
        <w:rFonts w:ascii="Calibri" w:hAnsi="Calibri"/>
        <w:szCs w:val="20"/>
      </w:rPr>
      <w:tab/>
    </w:r>
    <w:r w:rsidRPr="0055574C">
      <w:rPr>
        <w:rFonts w:ascii="Calibri" w:hAnsi="Calibri"/>
      </w:rPr>
      <w:t xml:space="preserve">Stránka </w:t>
    </w:r>
    <w:r w:rsidRPr="0055574C">
      <w:rPr>
        <w:rFonts w:ascii="Calibri" w:hAnsi="Calibri"/>
        <w:b/>
        <w:bCs/>
      </w:rPr>
      <w:fldChar w:fldCharType="begin"/>
    </w:r>
    <w:r w:rsidRPr="0055574C">
      <w:rPr>
        <w:rFonts w:ascii="Calibri" w:hAnsi="Calibri"/>
        <w:b/>
        <w:bCs/>
      </w:rPr>
      <w:instrText>PAGE</w:instrText>
    </w:r>
    <w:r w:rsidRPr="0055574C">
      <w:rPr>
        <w:rFonts w:ascii="Calibri" w:hAnsi="Calibri"/>
        <w:b/>
        <w:bCs/>
      </w:rPr>
      <w:fldChar w:fldCharType="separate"/>
    </w:r>
    <w:r>
      <w:rPr>
        <w:rFonts w:ascii="Calibri" w:hAnsi="Calibri"/>
        <w:b/>
        <w:bCs/>
      </w:rPr>
      <w:t>1</w:t>
    </w:r>
    <w:r w:rsidRPr="0055574C">
      <w:rPr>
        <w:rFonts w:ascii="Calibri" w:hAnsi="Calibri"/>
        <w:b/>
        <w:bCs/>
      </w:rPr>
      <w:fldChar w:fldCharType="end"/>
    </w:r>
    <w:r w:rsidRPr="0055574C">
      <w:rPr>
        <w:rFonts w:ascii="Calibri" w:hAnsi="Calibri"/>
      </w:rPr>
      <w:t xml:space="preserve"> z </w:t>
    </w:r>
    <w:r w:rsidRPr="0055574C">
      <w:rPr>
        <w:rFonts w:ascii="Calibri" w:hAnsi="Calibri"/>
        <w:b/>
        <w:bCs/>
      </w:rPr>
      <w:fldChar w:fldCharType="begin"/>
    </w:r>
    <w:r w:rsidRPr="0055574C">
      <w:rPr>
        <w:rFonts w:ascii="Calibri" w:hAnsi="Calibri"/>
        <w:b/>
        <w:bCs/>
      </w:rPr>
      <w:instrText>NUMPAGES</w:instrText>
    </w:r>
    <w:r w:rsidRPr="0055574C">
      <w:rPr>
        <w:rFonts w:ascii="Calibri" w:hAnsi="Calibri"/>
        <w:b/>
        <w:bCs/>
      </w:rPr>
      <w:fldChar w:fldCharType="separate"/>
    </w:r>
    <w:r>
      <w:rPr>
        <w:rFonts w:ascii="Calibri" w:hAnsi="Calibri"/>
        <w:b/>
        <w:bCs/>
      </w:rPr>
      <w:t>2</w:t>
    </w:r>
    <w:r w:rsidRPr="0055574C"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8F99C" w14:textId="77777777" w:rsidR="00882536" w:rsidRDefault="00882536" w:rsidP="008D7B12">
      <w:pPr>
        <w:spacing w:after="0" w:line="240" w:lineRule="auto"/>
      </w:pPr>
      <w:r>
        <w:separator/>
      </w:r>
    </w:p>
  </w:footnote>
  <w:footnote w:type="continuationSeparator" w:id="0">
    <w:p w14:paraId="30DB0329" w14:textId="77777777" w:rsidR="00882536" w:rsidRDefault="00882536" w:rsidP="008D7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B2654"/>
    <w:multiLevelType w:val="multilevel"/>
    <w:tmpl w:val="D80E0BE6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Odstavec1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4732A33"/>
    <w:multiLevelType w:val="hybridMultilevel"/>
    <w:tmpl w:val="E7703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81116"/>
    <w:multiLevelType w:val="hybridMultilevel"/>
    <w:tmpl w:val="B0DC5DEE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D2A40"/>
    <w:multiLevelType w:val="hybridMultilevel"/>
    <w:tmpl w:val="552020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412068">
    <w:abstractNumId w:val="3"/>
  </w:num>
  <w:num w:numId="2" w16cid:durableId="89160437">
    <w:abstractNumId w:val="2"/>
  </w:num>
  <w:num w:numId="3" w16cid:durableId="1692224184">
    <w:abstractNumId w:val="0"/>
  </w:num>
  <w:num w:numId="4" w16cid:durableId="1091664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8952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5F0"/>
    <w:rsid w:val="00066828"/>
    <w:rsid w:val="00152AEE"/>
    <w:rsid w:val="00166D61"/>
    <w:rsid w:val="001824E8"/>
    <w:rsid w:val="00184910"/>
    <w:rsid w:val="001B0487"/>
    <w:rsid w:val="002F6B44"/>
    <w:rsid w:val="00304612"/>
    <w:rsid w:val="00387FCE"/>
    <w:rsid w:val="003C53DB"/>
    <w:rsid w:val="004158BD"/>
    <w:rsid w:val="00454750"/>
    <w:rsid w:val="004603D2"/>
    <w:rsid w:val="004A0832"/>
    <w:rsid w:val="004A6FBD"/>
    <w:rsid w:val="0050544A"/>
    <w:rsid w:val="005120D6"/>
    <w:rsid w:val="0053562B"/>
    <w:rsid w:val="0055154B"/>
    <w:rsid w:val="006259B4"/>
    <w:rsid w:val="0063080F"/>
    <w:rsid w:val="00634A0C"/>
    <w:rsid w:val="00654714"/>
    <w:rsid w:val="00667C70"/>
    <w:rsid w:val="006804F9"/>
    <w:rsid w:val="00683522"/>
    <w:rsid w:val="006C2207"/>
    <w:rsid w:val="006E582D"/>
    <w:rsid w:val="00762BAE"/>
    <w:rsid w:val="0079343E"/>
    <w:rsid w:val="007D48C2"/>
    <w:rsid w:val="007D5AAF"/>
    <w:rsid w:val="007D5ED9"/>
    <w:rsid w:val="007E4087"/>
    <w:rsid w:val="007F4F55"/>
    <w:rsid w:val="00850DCC"/>
    <w:rsid w:val="008577F8"/>
    <w:rsid w:val="00882536"/>
    <w:rsid w:val="00892D96"/>
    <w:rsid w:val="008D47A1"/>
    <w:rsid w:val="008D7B12"/>
    <w:rsid w:val="00913887"/>
    <w:rsid w:val="009732A3"/>
    <w:rsid w:val="009951AF"/>
    <w:rsid w:val="00A30AB5"/>
    <w:rsid w:val="00A8358C"/>
    <w:rsid w:val="00AA7DC6"/>
    <w:rsid w:val="00AC15A0"/>
    <w:rsid w:val="00AF6113"/>
    <w:rsid w:val="00B24184"/>
    <w:rsid w:val="00B828C3"/>
    <w:rsid w:val="00BB7246"/>
    <w:rsid w:val="00BE2595"/>
    <w:rsid w:val="00BE69EF"/>
    <w:rsid w:val="00C032F1"/>
    <w:rsid w:val="00C04D25"/>
    <w:rsid w:val="00C865B8"/>
    <w:rsid w:val="00CE6542"/>
    <w:rsid w:val="00D348BB"/>
    <w:rsid w:val="00DC6206"/>
    <w:rsid w:val="00E11680"/>
    <w:rsid w:val="00E21E92"/>
    <w:rsid w:val="00E25AF5"/>
    <w:rsid w:val="00E46C64"/>
    <w:rsid w:val="00EA65F0"/>
    <w:rsid w:val="00EB708D"/>
    <w:rsid w:val="00EE6CB2"/>
    <w:rsid w:val="00F107E9"/>
    <w:rsid w:val="00F219E1"/>
    <w:rsid w:val="00F240A0"/>
    <w:rsid w:val="00F37120"/>
    <w:rsid w:val="00F405BA"/>
    <w:rsid w:val="00FA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A285D"/>
  <w15:chartTrackingRefBased/>
  <w15:docId w15:val="{4A7D83CA-9B95-48E6-9243-2A95E959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A65F0"/>
    <w:pPr>
      <w:ind w:left="720"/>
      <w:contextualSpacing/>
    </w:pPr>
  </w:style>
  <w:style w:type="paragraph" w:customStyle="1" w:styleId="lnekIbezsla">
    <w:name w:val="$ Článek I bez čísla"/>
    <w:basedOn w:val="Normln"/>
    <w:next w:val="Odstavec1"/>
    <w:rsid w:val="00454750"/>
    <w:pPr>
      <w:numPr>
        <w:numId w:val="3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stavec1">
    <w:name w:val="$ Odstavec 1."/>
    <w:basedOn w:val="Normln"/>
    <w:rsid w:val="00454750"/>
    <w:pPr>
      <w:numPr>
        <w:ilvl w:val="1"/>
        <w:numId w:val="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47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47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47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47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47A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951AF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D7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7B12"/>
  </w:style>
  <w:style w:type="paragraph" w:styleId="Zpat">
    <w:name w:val="footer"/>
    <w:basedOn w:val="Normln"/>
    <w:link w:val="ZpatChar"/>
    <w:uiPriority w:val="99"/>
    <w:unhideWhenUsed/>
    <w:rsid w:val="008D7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7B12"/>
  </w:style>
  <w:style w:type="paragraph" w:customStyle="1" w:styleId="2nesltext">
    <w:name w:val="2nečísl.text"/>
    <w:basedOn w:val="Normln"/>
    <w:qFormat/>
    <w:rsid w:val="008D7B12"/>
    <w:pPr>
      <w:spacing w:before="240" w:after="24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4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ROPID</Company>
  <LinksUpToDate>false</LinksUpToDate>
  <CharactersWithSpaces>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Staňková Miroslava</dc:creator>
  <cp:keywords/>
  <dc:description/>
  <cp:lastModifiedBy>HAVEL &amp; PARTNERS</cp:lastModifiedBy>
  <cp:revision>2</cp:revision>
  <dcterms:created xsi:type="dcterms:W3CDTF">2022-11-14T11:55:00Z</dcterms:created>
  <dcterms:modified xsi:type="dcterms:W3CDTF">2022-11-14T11:55:00Z</dcterms:modified>
</cp:coreProperties>
</file>