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proofErr w:type="spellStart"/>
      <w:r w:rsidR="00071B3A" w:rsidRPr="00071B3A">
        <w:rPr>
          <w:b/>
          <w:bCs/>
          <w:sz w:val="24"/>
        </w:rPr>
        <w:t>SčK</w:t>
      </w:r>
      <w:proofErr w:type="spellEnd"/>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proofErr w:type="spellStart"/>
      <w:r w:rsidRPr="00A10EEE">
        <w:rPr>
          <w:b/>
          <w:bCs/>
          <w:szCs w:val="22"/>
        </w:rPr>
        <w:t>SčK</w:t>
      </w:r>
      <w:proofErr w:type="spellEnd"/>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w:t>
      </w:r>
      <w:proofErr w:type="spellStart"/>
      <w:r w:rsidR="00C5573B" w:rsidRPr="0091131A">
        <w:rPr>
          <w:szCs w:val="22"/>
        </w:rPr>
        <w:t>SčK</w:t>
      </w:r>
      <w:proofErr w:type="spellEnd"/>
      <w:r w:rsidR="00C5573B" w:rsidRPr="0091131A">
        <w:rPr>
          <w:szCs w:val="22"/>
        </w:rPr>
        <w:t xml:space="preserve">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w:t>
      </w:r>
      <w:proofErr w:type="spellStart"/>
      <w:r w:rsidR="00C5573B" w:rsidRPr="0091131A">
        <w:rPr>
          <w:szCs w:val="22"/>
        </w:rPr>
        <w:t>SčK</w:t>
      </w:r>
      <w:proofErr w:type="spellEnd"/>
      <w:r w:rsidR="00C5573B" w:rsidRPr="0091131A">
        <w:rPr>
          <w:szCs w:val="22"/>
        </w:rPr>
        <w:t xml:space="preserve">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w:t>
      </w:r>
      <w:proofErr w:type="spellStart"/>
      <w:r w:rsidR="006874BA">
        <w:t>Mn</w:t>
      </w:r>
      <w:proofErr w:type="spellEnd"/>
      <w:r w:rsidR="006874BA">
        <w:t xml:space="preserve">, </w:t>
      </w:r>
      <w:proofErr w:type="spellStart"/>
      <w:r w:rsidR="006874BA">
        <w:t>Md</w:t>
      </w:r>
      <w:proofErr w:type="spellEnd"/>
      <w:r w:rsidR="006874BA">
        <w:t xml:space="preserve">, </w:t>
      </w:r>
      <w:proofErr w:type="spellStart"/>
      <w:r w:rsidR="006874BA">
        <w:t>Md</w:t>
      </w:r>
      <w:proofErr w:type="spellEnd"/>
      <w:r w:rsidR="006874BA">
        <w:t xml:space="preserve">+, </w:t>
      </w:r>
      <w:proofErr w:type="spellStart"/>
      <w:r w:rsidR="006874BA">
        <w:t>Sd</w:t>
      </w:r>
      <w:proofErr w:type="spellEnd"/>
      <w:r w:rsidR="006874BA">
        <w:t xml:space="preserve">, </w:t>
      </w:r>
      <w:proofErr w:type="spellStart"/>
      <w:r w:rsidR="006874BA">
        <w:t>Sd</w:t>
      </w:r>
      <w:proofErr w:type="spellEnd"/>
      <w:r w:rsidR="006874BA">
        <w:t xml:space="preserve">+, </w:t>
      </w:r>
      <w:proofErr w:type="spellStart"/>
      <w:r w:rsidR="006874BA">
        <w:t>Kb</w:t>
      </w:r>
      <w:proofErr w:type="spellEnd"/>
      <w:r w:rsidR="006874BA">
        <w:t xml:space="preserve"> a </w:t>
      </w:r>
      <w:proofErr w:type="spellStart"/>
      <w:r w:rsidR="006874BA">
        <w:t>Kb</w:t>
      </w:r>
      <w:proofErr w:type="spellEnd"/>
      <w:r w:rsidR="006874BA">
        <w:t xml:space="preserve">+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w:t>
      </w:r>
      <w:proofErr w:type="spellStart"/>
      <w:r w:rsidR="00C035F9">
        <w:t>Mn</w:t>
      </w:r>
      <w:proofErr w:type="spellEnd"/>
      <w:r w:rsidR="00C035F9">
        <w:t xml:space="preserve">, </w:t>
      </w:r>
      <w:proofErr w:type="spellStart"/>
      <w:r w:rsidR="00C035F9">
        <w:t>Md</w:t>
      </w:r>
      <w:proofErr w:type="spellEnd"/>
      <w:r w:rsidR="00C035F9">
        <w:t xml:space="preserve">, </w:t>
      </w:r>
      <w:proofErr w:type="spellStart"/>
      <w:r w:rsidR="00C035F9">
        <w:t>Md</w:t>
      </w:r>
      <w:proofErr w:type="spellEnd"/>
      <w:r w:rsidR="00C035F9">
        <w:t xml:space="preserve">+, </w:t>
      </w:r>
      <w:proofErr w:type="spellStart"/>
      <w:r w:rsidR="00C035F9">
        <w:t>Sd</w:t>
      </w:r>
      <w:proofErr w:type="spellEnd"/>
      <w:r w:rsidR="00C035F9">
        <w:t xml:space="preserve">, </w:t>
      </w:r>
      <w:proofErr w:type="spellStart"/>
      <w:r w:rsidR="00C035F9">
        <w:t>Sd</w:t>
      </w:r>
      <w:proofErr w:type="spellEnd"/>
      <w:r w:rsidR="00C035F9">
        <w:t xml:space="preserve">+, </w:t>
      </w:r>
      <w:proofErr w:type="spellStart"/>
      <w:r w:rsidR="00C035F9">
        <w:t>Kb</w:t>
      </w:r>
      <w:proofErr w:type="spellEnd"/>
      <w:r w:rsidR="00C035F9">
        <w:t xml:space="preserve"> a </w:t>
      </w:r>
      <w:proofErr w:type="spellStart"/>
      <w:r w:rsidR="00C035F9">
        <w:t>Kb</w:t>
      </w:r>
      <w:proofErr w:type="spellEnd"/>
      <w:r w:rsidR="00C035F9">
        <w:t xml:space="preserve">+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w:t>
      </w:r>
      <w:r w:rsidR="00954E96">
        <w:t> </w:t>
      </w:r>
      <w:proofErr w:type="spellStart"/>
      <w:r w:rsidR="0066702B">
        <w:t>Kb</w:t>
      </w:r>
      <w:proofErr w:type="spellEnd"/>
      <w:r w:rsidR="0066702B">
        <w:t xml:space="preserve">+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 </w:t>
      </w:r>
      <w:proofErr w:type="spellStart"/>
      <w:r w:rsidR="0066702B">
        <w:t>Kb</w:t>
      </w:r>
      <w:proofErr w:type="spellEnd"/>
      <w:r w:rsidR="0066702B">
        <w:t xml:space="preserve">+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proofErr w:type="spellStart"/>
      <w:r w:rsidR="006A59BE">
        <w:t>SčK</w:t>
      </w:r>
      <w:proofErr w:type="spellEnd"/>
      <w:r w:rsidR="006A59BE">
        <w:t xml:space="preserve">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w:t>
      </w:r>
      <w:proofErr w:type="spellStart"/>
      <w:r w:rsidR="0012741B">
        <w:t>SčK</w:t>
      </w:r>
      <w:proofErr w:type="spellEnd"/>
      <w:r w:rsidR="0012741B">
        <w:t xml:space="preserve">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 xml:space="preserve">Společný integrovaný dopravní systém HMP a </w:t>
      </w:r>
      <w:proofErr w:type="spellStart"/>
      <w:r w:rsidR="0036755C">
        <w:rPr>
          <w:b/>
          <w:bCs/>
          <w:i/>
          <w:iCs/>
        </w:rPr>
        <w:t>SčK</w:t>
      </w:r>
      <w:proofErr w:type="spellEnd"/>
      <w:r w:rsidR="0036755C">
        <w:rPr>
          <w:b/>
          <w:bCs/>
          <w:i/>
          <w:iCs/>
        </w:rPr>
        <w:t xml:space="preserve">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proofErr w:type="spellStart"/>
      <w:r w:rsidR="001B3C72">
        <w:t>P</w:t>
      </w:r>
      <w:r w:rsidRPr="00E33204">
        <w:t>ředrealizačním</w:t>
      </w:r>
      <w:proofErr w:type="spellEnd"/>
      <w:r w:rsidRPr="00E33204">
        <w:t xml:space="preserve">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 xml:space="preserve">Dopravce bude uzavírat smlouvy o využívání zastávkových sloupků autobusových nádraží terminálů podle aktuální situace, proto není uveden pro </w:t>
      </w:r>
      <w:proofErr w:type="spellStart"/>
      <w:r>
        <w:t>SčK</w:t>
      </w:r>
      <w:proofErr w:type="spellEnd"/>
      <w:r>
        <w:t xml:space="preserve"> žádný vzor smlouvy o využívání těchto zařízení. Konkretizace nákladů bude provedena v</w:t>
      </w:r>
      <w:r w:rsidR="00BD6B86">
        <w:t> </w:t>
      </w:r>
      <w:proofErr w:type="spellStart"/>
      <w:r w:rsidR="00BD6B86">
        <w:t>P</w:t>
      </w:r>
      <w:r>
        <w:t>ředrealizačním</w:t>
      </w:r>
      <w:proofErr w:type="spellEnd"/>
      <w:r>
        <w:t xml:space="preserve">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proofErr w:type="spellStart"/>
      <w:r w:rsidR="009D1F77">
        <w:t>Sč</w:t>
      </w:r>
      <w:r w:rsidR="00976FE3">
        <w:t>K</w:t>
      </w:r>
      <w:proofErr w:type="spellEnd"/>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w:t>
      </w:r>
      <w:proofErr w:type="spellStart"/>
      <w:r w:rsidRPr="00773FBD">
        <w:t>Midibus</w:t>
      </w:r>
      <w:proofErr w:type="spellEnd"/>
      <w:r w:rsidRPr="00773FBD">
        <w:t xml:space="preserve">, </w:t>
      </w:r>
      <w:proofErr w:type="spellStart"/>
      <w:r w:rsidRPr="00773FBD">
        <w:t>Midibus</w:t>
      </w:r>
      <w:proofErr w:type="spellEnd"/>
      <w:r w:rsidRPr="00773FBD">
        <w:t xml:space="preserve">+,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w:t>
            </w:r>
            <w:proofErr w:type="spellStart"/>
            <w:r w:rsidRPr="00A276BE">
              <w:rPr>
                <w:sz w:val="24"/>
                <w:szCs w:val="24"/>
              </w:rPr>
              <w:t>Mn</w:t>
            </w:r>
            <w:proofErr w:type="spellEnd"/>
            <w:r w:rsidRPr="00A276BE">
              <w:rPr>
                <w:sz w:val="24"/>
                <w:szCs w:val="24"/>
              </w:rPr>
              <w:t>)</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proofErr w:type="spellStart"/>
            <w:r w:rsidRPr="00A276BE">
              <w:rPr>
                <w:sz w:val="24"/>
                <w:szCs w:val="24"/>
              </w:rPr>
              <w:t>Midibus</w:t>
            </w:r>
            <w:proofErr w:type="spellEnd"/>
            <w:r w:rsidRPr="00A276BE">
              <w:rPr>
                <w:sz w:val="24"/>
                <w:szCs w:val="24"/>
              </w:rPr>
              <w:t xml:space="preserve"> (</w:t>
            </w:r>
            <w:proofErr w:type="spellStart"/>
            <w:r w:rsidRPr="00A276BE">
              <w:rPr>
                <w:sz w:val="24"/>
                <w:szCs w:val="24"/>
              </w:rPr>
              <w:t>Md</w:t>
            </w:r>
            <w:proofErr w:type="spellEnd"/>
            <w:r w:rsidRPr="00A276BE">
              <w:rPr>
                <w:sz w:val="24"/>
                <w:szCs w:val="24"/>
              </w:rPr>
              <w:t>)</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proofErr w:type="spellStart"/>
            <w:r w:rsidRPr="00A276BE">
              <w:rPr>
                <w:sz w:val="24"/>
                <w:szCs w:val="24"/>
              </w:rPr>
              <w:lastRenderedPageBreak/>
              <w:t>Midibus</w:t>
            </w:r>
            <w:proofErr w:type="spellEnd"/>
            <w:r w:rsidRPr="00A276BE">
              <w:rPr>
                <w:sz w:val="24"/>
                <w:szCs w:val="24"/>
              </w:rPr>
              <w:t>+ (</w:t>
            </w:r>
            <w:proofErr w:type="spellStart"/>
            <w:r w:rsidRPr="00A276BE">
              <w:rPr>
                <w:sz w:val="24"/>
                <w:szCs w:val="24"/>
              </w:rPr>
              <w:t>Md</w:t>
            </w:r>
            <w:proofErr w:type="spellEnd"/>
            <w:r w:rsidRPr="00A276BE">
              <w:rPr>
                <w:sz w:val="24"/>
                <w:szCs w:val="24"/>
              </w:rPr>
              <w:t xml:space="preserve">+, </w:t>
            </w:r>
            <w:proofErr w:type="gramStart"/>
            <w:r w:rsidRPr="00A276BE">
              <w:rPr>
                <w:sz w:val="24"/>
                <w:szCs w:val="24"/>
              </w:rPr>
              <w:t xml:space="preserve">nebo  </w:t>
            </w:r>
            <w:proofErr w:type="spellStart"/>
            <w:r w:rsidRPr="00A276BE">
              <w:rPr>
                <w:sz w:val="24"/>
                <w:szCs w:val="24"/>
              </w:rPr>
              <w:t>Md</w:t>
            </w:r>
            <w:proofErr w:type="spellEnd"/>
            <w:proofErr w:type="gramEnd"/>
            <w:r w:rsidRPr="00A276BE">
              <w:rPr>
                <w:sz w:val="24"/>
                <w:szCs w:val="24"/>
              </w:rPr>
              <w:t>@)</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 xml:space="preserve">+, nebo </w:t>
            </w:r>
            <w:proofErr w:type="spellStart"/>
            <w:r w:rsidRPr="00A276BE">
              <w:rPr>
                <w:sz w:val="24"/>
                <w:szCs w:val="24"/>
              </w:rPr>
              <w:t>Sd</w:t>
            </w:r>
            <w:proofErr w:type="spellEnd"/>
            <w:r w:rsidRPr="00A276BE">
              <w:rPr>
                <w:sz w:val="24"/>
                <w:szCs w:val="24"/>
              </w:rPr>
              <w:t>@)</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 xml:space="preserve">+, nebo </w:t>
            </w:r>
            <w:proofErr w:type="spellStart"/>
            <w:r w:rsidRPr="00A276BE">
              <w:rPr>
                <w:sz w:val="24"/>
                <w:szCs w:val="24"/>
              </w:rPr>
              <w:t>Kb</w:t>
            </w:r>
            <w:proofErr w:type="spellEnd"/>
            <w:r w:rsidRPr="00A276BE">
              <w:rPr>
                <w:sz w:val="24"/>
                <w:szCs w:val="24"/>
              </w:rPr>
              <w:t>@)</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w:t>
      </w:r>
      <w:proofErr w:type="spellStart"/>
      <w:r w:rsidR="009D1F77">
        <w:t>SčK</w:t>
      </w:r>
      <w:proofErr w:type="spellEnd"/>
      <w:r w:rsidR="009D1F77">
        <w:t xml:space="preserve">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 xml:space="preserve">nebo na příslušném území </w:t>
      </w:r>
      <w:proofErr w:type="spellStart"/>
      <w:r w:rsidR="00115AB0" w:rsidRPr="00F57919">
        <w:rPr>
          <w:szCs w:val="22"/>
        </w:rPr>
        <w:t>SčK</w:t>
      </w:r>
      <w:proofErr w:type="spellEnd"/>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proofErr w:type="spellStart"/>
      <w:proofErr w:type="gramStart"/>
      <w:r w:rsidR="0078095B">
        <w:t>SčK</w:t>
      </w:r>
      <w:proofErr w:type="spellEnd"/>
      <w:proofErr w:type="gramEnd"/>
      <w:r w:rsidR="0078095B">
        <w:t xml:space="preserve">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 xml:space="preserve">nebo příslušném území </w:t>
      </w:r>
      <w:proofErr w:type="spellStart"/>
      <w:r w:rsidR="008A613C">
        <w:t>SčK</w:t>
      </w:r>
      <w:proofErr w:type="spellEnd"/>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w:t>
      </w:r>
      <w:proofErr w:type="spellStart"/>
      <w:r w:rsidR="0049257F">
        <w:t>SčK</w:t>
      </w:r>
      <w:proofErr w:type="spellEnd"/>
      <w:r w:rsidR="0049257F">
        <w:t xml:space="preserve">, týká-li se objednaný operativní výkon i objednatele </w:t>
      </w:r>
      <w:proofErr w:type="spellStart"/>
      <w:r w:rsidR="0049257F">
        <w:t>Sč</w:t>
      </w:r>
      <w:r w:rsidR="00505568">
        <w:t>K</w:t>
      </w:r>
      <w:proofErr w:type="spellEnd"/>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proofErr w:type="spellStart"/>
      <w:r w:rsidRPr="00FF101B">
        <w:rPr>
          <w:rFonts w:eastAsia="Calibri"/>
          <w:sz w:val="24"/>
        </w:rPr>
        <w:t>CDVi</w:t>
      </w:r>
      <w:proofErr w:type="spellEnd"/>
      <w:r w:rsidRPr="00FF101B">
        <w:rPr>
          <w:rFonts w:eastAsia="Calibri"/>
          <w:sz w:val="24"/>
        </w:rPr>
        <w:t xml:space="preserve">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 xml:space="preserve">uhradí skutečně ujeté výkony, tj. Referenční dopravní výkony, které budou hrazeny </w:t>
      </w:r>
      <w:proofErr w:type="spellStart"/>
      <w:r w:rsidRPr="00FF101B">
        <w:t>CDVi</w:t>
      </w:r>
      <w:proofErr w:type="spellEnd"/>
      <w:r w:rsidRPr="00FF101B">
        <w:t>;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w:t>
      </w:r>
      <w:proofErr w:type="spellStart"/>
      <w:r w:rsidRPr="00FF101B">
        <w:t>CDDVi</w:t>
      </w:r>
      <w:proofErr w:type="spellEnd"/>
      <w:r w:rsidRPr="00FF101B">
        <w:t xml:space="preserve">.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proofErr w:type="gram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proofErr w:type="gram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proofErr w:type="spellStart"/>
      <w:r w:rsidRPr="006461EE">
        <w:rPr>
          <w:b/>
        </w:rPr>
        <w:t>CDV</w:t>
      </w:r>
      <w:r w:rsidRPr="006461EE">
        <w:rPr>
          <w:b/>
          <w:vertAlign w:val="subscript"/>
        </w:rPr>
        <w:t>i</w:t>
      </w:r>
      <w:proofErr w:type="spellEnd"/>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proofErr w:type="spellStart"/>
      <w:r w:rsidRPr="006461EE">
        <w:rPr>
          <w:b/>
        </w:rPr>
        <w:t>CDV</w:t>
      </w:r>
      <w:r w:rsidRPr="006461EE">
        <w:rPr>
          <w:b/>
          <w:vertAlign w:val="subscript"/>
        </w:rPr>
        <w:t>i</w:t>
      </w:r>
      <w:proofErr w:type="spellEnd"/>
      <w:r w:rsidRPr="006461EE">
        <w:rPr>
          <w:b/>
          <w:vertAlign w:val="subscript"/>
        </w:rPr>
        <w:t xml:space="preserve"> </w:t>
      </w:r>
      <w:r w:rsidRPr="006461EE">
        <w:rPr>
          <w:b/>
        </w:rPr>
        <w:t xml:space="preserve">= </w:t>
      </w:r>
      <w:proofErr w:type="spellStart"/>
      <w:r w:rsidRPr="00EF37EF">
        <w:rPr>
          <w:b/>
          <w:i/>
        </w:rPr>
        <w:t>NCDV</w:t>
      </w:r>
      <w:r w:rsidRPr="00EF37EF">
        <w:rPr>
          <w:b/>
          <w:i/>
          <w:vertAlign w:val="subscript"/>
        </w:rPr>
        <w:t>i</w:t>
      </w:r>
      <w:proofErr w:type="spellEnd"/>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proofErr w:type="spellStart"/>
      <w:r w:rsidRPr="0056282E">
        <w:rPr>
          <w:b/>
          <w:i/>
        </w:rPr>
        <w:t>NCDV</w:t>
      </w:r>
      <w:r w:rsidRPr="0056282E">
        <w:rPr>
          <w:b/>
          <w:i/>
          <w:vertAlign w:val="subscript"/>
        </w:rPr>
        <w:t>i</w:t>
      </w:r>
      <w:proofErr w:type="spellEnd"/>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proofErr w:type="spellStart"/>
      <w:r w:rsidRPr="003D7176">
        <w:rPr>
          <w:b/>
        </w:rPr>
        <w:t>CDDV</w:t>
      </w:r>
      <w:r w:rsidRPr="003D7176">
        <w:rPr>
          <w:b/>
          <w:vertAlign w:val="subscript"/>
        </w:rPr>
        <w:t>i</w:t>
      </w:r>
      <w:proofErr w:type="spellEnd"/>
      <w:r w:rsidRPr="003D7176">
        <w:rPr>
          <w:b/>
          <w:vertAlign w:val="subscript"/>
        </w:rPr>
        <w:t xml:space="preserve">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proofErr w:type="spellStart"/>
      <w:r w:rsidRPr="0056282E">
        <w:rPr>
          <w:b/>
        </w:rPr>
        <w:t>CDDV</w:t>
      </w:r>
      <w:r w:rsidRPr="0056282E">
        <w:rPr>
          <w:b/>
          <w:vertAlign w:val="subscript"/>
        </w:rPr>
        <w:t>i</w:t>
      </w:r>
      <w:proofErr w:type="spellEnd"/>
      <w:r w:rsidRPr="0056282E">
        <w:rPr>
          <w:b/>
          <w:vertAlign w:val="subscript"/>
        </w:rPr>
        <w:t xml:space="preserve"> </w:t>
      </w:r>
      <w:r w:rsidRPr="0056282E">
        <w:rPr>
          <w:b/>
        </w:rPr>
        <w:t xml:space="preserve">= </w:t>
      </w:r>
      <w:proofErr w:type="spellStart"/>
      <w:r w:rsidRPr="00EF37EF">
        <w:rPr>
          <w:b/>
          <w:i/>
        </w:rPr>
        <w:t>NCDDV</w:t>
      </w:r>
      <w:r w:rsidRPr="00EF37EF">
        <w:rPr>
          <w:b/>
          <w:i/>
          <w:vertAlign w:val="subscript"/>
        </w:rPr>
        <w:t>i</w:t>
      </w:r>
      <w:proofErr w:type="spellEnd"/>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proofErr w:type="spellStart"/>
      <w:r w:rsidRPr="0056282E">
        <w:rPr>
          <w:b/>
          <w:i/>
        </w:rPr>
        <w:t>NCDDV</w:t>
      </w:r>
      <w:r w:rsidRPr="0056282E">
        <w:rPr>
          <w:b/>
          <w:i/>
          <w:vertAlign w:val="subscript"/>
        </w:rPr>
        <w:t>i</w:t>
      </w:r>
      <w:proofErr w:type="spellEnd"/>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06561485" w:rsidR="00E600BC" w:rsidRDefault="00E600BC" w:rsidP="00E77B52">
      <w:pPr>
        <w:pStyle w:val="Odstavec1bezslovn"/>
        <w:spacing w:after="120"/>
        <w:ind w:left="567"/>
        <w:rPr>
          <w:ins w:id="6" w:author="Staňková Miroslava" w:date="2022-08-18T01:02:00Z"/>
        </w:rPr>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2F8BBD57" w14:textId="77777777" w:rsidR="00932EAE" w:rsidRPr="001560D6" w:rsidRDefault="00932EAE" w:rsidP="00932EAE">
      <w:pPr>
        <w:spacing w:after="160" w:line="259" w:lineRule="auto"/>
        <w:ind w:left="567"/>
        <w:jc w:val="both"/>
        <w:rPr>
          <w:ins w:id="7" w:author="Staňková Miroslava" w:date="2022-08-18T01:02:00Z"/>
          <w:sz w:val="24"/>
          <w:szCs w:val="24"/>
        </w:rPr>
      </w:pPr>
      <w:proofErr w:type="spellStart"/>
      <w:ins w:id="8" w:author="Staňková Miroslava" w:date="2022-08-18T01:02:00Z">
        <w:r w:rsidRPr="00392011">
          <w:rPr>
            <w:b/>
            <w:sz w:val="24"/>
            <w:szCs w:val="24"/>
          </w:rPr>
          <w:t>CDVDVJTi</w:t>
        </w:r>
        <w:proofErr w:type="spellEnd"/>
        <w:r w:rsidRPr="00392011">
          <w:rPr>
            <w:b/>
            <w:sz w:val="24"/>
            <w:szCs w:val="24"/>
          </w:rPr>
          <w:t xml:space="preserve"> </w:t>
        </w:r>
        <w:r w:rsidRPr="00392011">
          <w:rPr>
            <w:sz w:val="24"/>
            <w:szCs w:val="24"/>
          </w:rPr>
          <w:t xml:space="preserve">představuje cenu dopravního výkonu vozidla jiného typu, než je požadováno na zajištění Veřejných služeb pro oblast dle této Smlouvy pro příslušné období dodatečně kalkulovanou dle přílohy </w:t>
        </w:r>
        <w:proofErr w:type="gramStart"/>
        <w:r w:rsidRPr="00392011">
          <w:rPr>
            <w:sz w:val="24"/>
            <w:szCs w:val="24"/>
          </w:rPr>
          <w:t>4b - list</w:t>
        </w:r>
        <w:proofErr w:type="gramEnd"/>
        <w:r w:rsidRPr="00392011">
          <w:rPr>
            <w:sz w:val="24"/>
            <w:szCs w:val="24"/>
          </w:rPr>
          <w:t xml:space="preserve"> čl. III odst. 11, zvýšenou o cenu CORG a uplatněnou na výkony ujeté vozidlem nasazeným dle čl. III odst. 11 Smlouvy [Kč/Linkový km].</w:t>
        </w:r>
      </w:ins>
    </w:p>
    <w:p w14:paraId="071742C6" w14:textId="77777777" w:rsidR="00D448AC" w:rsidRDefault="00D448AC" w:rsidP="00E77B52">
      <w:pPr>
        <w:pStyle w:val="Odstavec1bezslovn"/>
        <w:spacing w:after="120"/>
        <w:ind w:left="567"/>
      </w:pPr>
      <w:bookmarkStart w:id="9" w:name="_Hlk109043786"/>
      <w:proofErr w:type="spellStart"/>
      <w:r>
        <w:rPr>
          <w:b/>
        </w:rPr>
        <w:t>CDVMDVJT</w:t>
      </w:r>
      <w:r>
        <w:rPr>
          <w:b/>
          <w:vertAlign w:val="subscript"/>
        </w:rPr>
        <w:t>i</w:t>
      </w:r>
      <w:proofErr w:type="spellEnd"/>
      <w:r>
        <w:rPr>
          <w:b/>
          <w:vertAlign w:val="subscript"/>
        </w:rPr>
        <w:t xml:space="preserve"> </w:t>
      </w:r>
      <w:bookmarkEnd w:id="9"/>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 xml:space="preserve">dle přílohy č. </w:t>
      </w:r>
      <w:proofErr w:type="gramStart"/>
      <w:r w:rsidRPr="00C2722F">
        <w:t>4b - list</w:t>
      </w:r>
      <w:proofErr w:type="gramEnd"/>
      <w:r w:rsidRPr="00C2722F">
        <w:t xml:space="preserve">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proofErr w:type="gramStart"/>
      <w:r>
        <w:t>KmrDVJT</w:t>
      </w:r>
      <w:r>
        <w:rPr>
          <w:vertAlign w:val="subscript"/>
        </w:rPr>
        <w:t>i</w:t>
      </w:r>
      <w:proofErr w:type="spellEnd"/>
      <w:r>
        <w:t>[</w:t>
      </w:r>
      <w:proofErr w:type="gramEnd"/>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w:t>
      </w:r>
      <w:r w:rsidR="0009057D">
        <w:lastRenderedPageBreak/>
        <w:t xml:space="preserve">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proofErr w:type="spellStart"/>
      <w:r w:rsidR="00173699">
        <w:t>SčK</w:t>
      </w:r>
      <w:proofErr w:type="spellEnd"/>
      <w:r w:rsidR="00173699">
        <w:t xml:space="preserve">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proofErr w:type="spellStart"/>
      <w:r w:rsidR="009F3371">
        <w:t>P</w:t>
      </w:r>
      <w:r w:rsidR="009D5BFC">
        <w:t>ředrealizačním</w:t>
      </w:r>
      <w:proofErr w:type="spellEnd"/>
      <w:r w:rsidR="009D5BFC">
        <w:t xml:space="preserve">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lastRenderedPageBreak/>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lastRenderedPageBreak/>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42F807EE" w:rsidR="00CC0DDB" w:rsidRDefault="00CC0DDB" w:rsidP="00B81BE2">
      <w:pPr>
        <w:pStyle w:val="Odstavec1"/>
        <w:tabs>
          <w:tab w:val="clear" w:pos="644"/>
        </w:tabs>
        <w:ind w:left="567" w:hanging="567"/>
        <w:rPr>
          <w:ins w:id="10" w:author="Vít Baťa" w:date="2022-08-19T12:58:00Z"/>
        </w:rPr>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40551BF7" w14:textId="5023E50B" w:rsidR="00C34393" w:rsidRDefault="00C34393" w:rsidP="00B81BE2">
      <w:pPr>
        <w:pStyle w:val="Odstavec1"/>
        <w:tabs>
          <w:tab w:val="clear" w:pos="644"/>
        </w:tabs>
        <w:ind w:left="567" w:hanging="567"/>
      </w:pPr>
      <w:ins w:id="11" w:author="Vít Baťa" w:date="2022-08-19T12:58:00Z">
        <w:r w:rsidRPr="00C34393">
          <w:t>Veškeré cenové údaje uvedené v této Smlouvě budou počítány jako ceny bez DPH. V případě změny právních předpisů bude k údajům připočtena DPH v souladu s právními předpisy.</w:t>
        </w:r>
      </w:ins>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w:t>
      </w:r>
      <w:proofErr w:type="spellStart"/>
      <w:r w:rsidR="00212F18">
        <w:t>SčK</w:t>
      </w:r>
      <w:proofErr w:type="spellEnd"/>
      <w:r w:rsidR="00212F18">
        <w:t xml:space="preserve">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lastRenderedPageBreak/>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 xml:space="preserve">HMP a </w:t>
      </w:r>
      <w:proofErr w:type="spellStart"/>
      <w:r>
        <w:t>SčK</w:t>
      </w:r>
      <w:proofErr w:type="spellEnd"/>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w:t>
      </w:r>
      <w:proofErr w:type="spellStart"/>
      <w:r w:rsidR="00312014" w:rsidRPr="00AD0880">
        <w:t>SčK</w:t>
      </w:r>
      <w:proofErr w:type="spellEnd"/>
      <w:r w:rsidR="00312014" w:rsidRPr="00AD0880">
        <w:t xml:space="preserve">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w:t>
      </w:r>
      <w:r w:rsidR="006C5856">
        <w:lastRenderedPageBreak/>
        <w:t>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proofErr w:type="gramStart"/>
      <w:r w:rsidR="003564F4">
        <w:t xml:space="preserve">HMP </w:t>
      </w:r>
      <w:r>
        <w:t>.</w:t>
      </w:r>
      <w:proofErr w:type="gramEnd"/>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lastRenderedPageBreak/>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xml:space="preserve">), je však povinen Objednateli tyto náklady </w:t>
      </w:r>
      <w:r w:rsidR="00201C1C">
        <w:lastRenderedPageBreak/>
        <w:t>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 xml:space="preserve">Vzhledem k tomu, že </w:t>
      </w:r>
      <w:proofErr w:type="spellStart"/>
      <w:r>
        <w:t>NCDV</w:t>
      </w:r>
      <w:r w:rsidR="00F77F04" w:rsidRPr="00F77F04">
        <w:rPr>
          <w:vertAlign w:val="subscript"/>
        </w:rPr>
        <w:t>i</w:t>
      </w:r>
      <w:proofErr w:type="spellEnd"/>
      <w:r>
        <w:t xml:space="preserve"> a </w:t>
      </w:r>
      <w:proofErr w:type="spellStart"/>
      <w:r>
        <w:t>NCDDV</w:t>
      </w:r>
      <w:r w:rsidR="00F77F04" w:rsidRPr="00F77F04">
        <w:rPr>
          <w:vertAlign w:val="subscript"/>
        </w:rPr>
        <w:t>i</w:t>
      </w:r>
      <w:proofErr w:type="spellEnd"/>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lastRenderedPageBreak/>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lastRenderedPageBreak/>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w:t>
      </w:r>
      <w:r>
        <w:lastRenderedPageBreak/>
        <w:t xml:space="preserve">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proofErr w:type="spellStart"/>
      <w:r w:rsidR="002E2E24">
        <w:t>CDV</w:t>
      </w:r>
      <w:r w:rsidR="00FD4BBA" w:rsidRPr="00CF6839">
        <w:rPr>
          <w:vertAlign w:val="subscript"/>
        </w:rPr>
        <w:t>i</w:t>
      </w:r>
      <w:proofErr w:type="spellEnd"/>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proofErr w:type="spellStart"/>
      <w:r>
        <w:t>CDVi</w:t>
      </w:r>
      <w:proofErr w:type="spellEnd"/>
      <w:r>
        <w:t xml:space="preserve">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proofErr w:type="spellStart"/>
      <w:r>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proofErr w:type="spellStart"/>
      <w:r>
        <w:t>CDDV</w:t>
      </w:r>
      <w:r>
        <w:rPr>
          <w:vertAlign w:val="subscript"/>
        </w:rPr>
        <w:t>i</w:t>
      </w:r>
      <w:proofErr w:type="spellEnd"/>
      <w:r>
        <w:rPr>
          <w:vertAlign w:val="subscript"/>
        </w:rPr>
        <w:t xml:space="preserve">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proofErr w:type="spellStart"/>
      <w:r>
        <w:lastRenderedPageBreak/>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w:t>
      </w:r>
      <w:proofErr w:type="spellStart"/>
      <w:r w:rsidR="001A2313">
        <w:t>CDV</w:t>
      </w:r>
      <w:r w:rsidR="001A2313" w:rsidRPr="005E3D2C">
        <w:rPr>
          <w:vertAlign w:val="subscript"/>
        </w:rPr>
        <w:t>i</w:t>
      </w:r>
      <w:proofErr w:type="spellEnd"/>
      <w:r w:rsidR="001A2313">
        <w:t xml:space="preserve"> a </w:t>
      </w:r>
      <w:proofErr w:type="spellStart"/>
      <w:r w:rsidR="001A2313">
        <w:t>CDDV</w:t>
      </w:r>
      <w:r w:rsidR="001A2313" w:rsidRPr="005E3D2C">
        <w:rPr>
          <w:vertAlign w:val="subscript"/>
        </w:rPr>
        <w:t>i</w:t>
      </w:r>
      <w:proofErr w:type="spellEnd"/>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proofErr w:type="spellStart"/>
      <w:r w:rsidR="00761F15">
        <w:t>SčK</w:t>
      </w:r>
      <w:proofErr w:type="spellEnd"/>
      <w:r w:rsidR="00761F15">
        <w:t xml:space="preserve">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proofErr w:type="spellStart"/>
      <w:r w:rsidR="00761F15">
        <w:t>SčK</w:t>
      </w:r>
      <w:proofErr w:type="spellEnd"/>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proofErr w:type="spellStart"/>
      <w:r w:rsidR="00674D89">
        <w:t>SčK</w:t>
      </w:r>
      <w:proofErr w:type="spellEnd"/>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lastRenderedPageBreak/>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proofErr w:type="spellStart"/>
      <w:r>
        <w:t>SčK</w:t>
      </w:r>
      <w:proofErr w:type="spellEnd"/>
      <w:r>
        <w:t xml:space="preserve">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proofErr w:type="spellStart"/>
      <w:r w:rsidR="005F4DC4">
        <w:t>SčK</w:t>
      </w:r>
      <w:proofErr w:type="spellEnd"/>
      <w:r w:rsidR="005F4DC4">
        <w:t xml:space="preserve">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0C5FF524" w:rsidR="00D33CC5" w:rsidRDefault="0063426F">
      <w:pPr>
        <w:pStyle w:val="Odstavec1odrky"/>
        <w:numPr>
          <w:ilvl w:val="0"/>
          <w:numId w:val="6"/>
        </w:numPr>
      </w:pPr>
      <w:r>
        <w:t>náklady na vjezdy do autobusových nádr</w:t>
      </w:r>
      <w:ins w:id="12" w:author="Staňková Miroslava" w:date="2022-08-18T01:01:00Z">
        <w:r w:rsidR="00EE441F">
          <w:t>a</w:t>
        </w:r>
      </w:ins>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lastRenderedPageBreak/>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w:t>
      </w:r>
      <w:proofErr w:type="spellStart"/>
      <w:r>
        <w:t>SčK</w:t>
      </w:r>
      <w:proofErr w:type="spellEnd"/>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lastRenderedPageBreak/>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w:t>
      </w:r>
      <w:proofErr w:type="spellStart"/>
      <w:r w:rsidRPr="009F0DA3">
        <w:t>SčK</w:t>
      </w:r>
      <w:proofErr w:type="spellEnd"/>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w:t>
      </w:r>
      <w:proofErr w:type="spellStart"/>
      <w:r w:rsidRPr="009F0DA3">
        <w:t>SčK</w:t>
      </w:r>
      <w:proofErr w:type="spellEnd"/>
      <w:r w:rsidRPr="009F0DA3">
        <w:t xml:space="preserve">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 xml:space="preserve">a </w:t>
      </w:r>
      <w:proofErr w:type="spellStart"/>
      <w:r w:rsidR="001A2313">
        <w:t>SčK</w:t>
      </w:r>
      <w:proofErr w:type="spellEnd"/>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 xml:space="preserve">po obdržení písemné žádosti (postačuje e-mail na kontaktní </w:t>
      </w:r>
      <w:r w:rsidR="00C21F62">
        <w:lastRenderedPageBreak/>
        <w:t>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w:t>
      </w:r>
      <w:proofErr w:type="spellStart"/>
      <w:r w:rsidR="00AA54AF">
        <w:t>SčK</w:t>
      </w:r>
      <w:proofErr w:type="spellEnd"/>
      <w:r w:rsidR="00AA54AF">
        <w:t xml:space="preserve">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lastRenderedPageBreak/>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proofErr w:type="spellStart"/>
      <w:r w:rsidR="0008232B">
        <w:t>P</w:t>
      </w:r>
      <w:r w:rsidR="00F75D31">
        <w:t>ředrealizačním</w:t>
      </w:r>
      <w:proofErr w:type="spellEnd"/>
      <w:r w:rsidR="00F75D31">
        <w:t xml:space="preserve">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xml:space="preserve">, zejména za situace, </w:t>
      </w:r>
      <w:proofErr w:type="gramStart"/>
      <w:r w:rsidR="00B90553">
        <w:t>kdy</w:t>
      </w:r>
      <w:proofErr w:type="gramEnd"/>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w:t>
      </w:r>
      <w:proofErr w:type="spellStart"/>
      <w:r w:rsidR="0008232B">
        <w:t>Předrealizačním</w:t>
      </w:r>
      <w:proofErr w:type="spellEnd"/>
      <w:r w:rsidR="0008232B">
        <w:t xml:space="preserve">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xml:space="preserve">. Ostatní podmínky pověření k provádění přepravní kontroly a úhrady budou upraveny shodně jako v případě uzavření Smlouvy </w:t>
      </w:r>
      <w:r w:rsidR="00AC5588">
        <w:lastRenderedPageBreak/>
        <w:t>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w:t>
      </w:r>
      <w:proofErr w:type="spellStart"/>
      <w:r w:rsidR="00013597">
        <w:t>SčK</w:t>
      </w:r>
      <w:proofErr w:type="spellEnd"/>
      <w:r w:rsidR="00013597">
        <w:t xml:space="preserve">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w:t>
      </w:r>
      <w:proofErr w:type="spellStart"/>
      <w:r w:rsidR="009A52EA">
        <w:t>Předrealizačním</w:t>
      </w:r>
      <w:proofErr w:type="spellEnd"/>
      <w:r w:rsidR="009A52EA">
        <w:t xml:space="preserve">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 xml:space="preserve">li </w:t>
      </w:r>
      <w:r w:rsidR="009014B8">
        <w:lastRenderedPageBreak/>
        <w:t>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w:t>
      </w:r>
      <w:proofErr w:type="gramStart"/>
      <w:r w:rsidR="00503653">
        <w:t>10b</w:t>
      </w:r>
      <w:proofErr w:type="gramEnd"/>
      <w:r w:rsidR="00503653">
        <w:t xml:space="preserve">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w:t>
      </w:r>
      <w:r w:rsidRPr="003B54A4">
        <w:lastRenderedPageBreak/>
        <w:t xml:space="preserve">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13" w:name="_Hlk84885920"/>
      <w:r w:rsidR="00F14C9D">
        <w:t xml:space="preserve">zajistit provoz dispečinku </w:t>
      </w:r>
      <w:bookmarkEnd w:id="13"/>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proofErr w:type="spellStart"/>
      <w:r w:rsidR="00055545">
        <w:t>SčK</w:t>
      </w:r>
      <w:proofErr w:type="spellEnd"/>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w:t>
      </w:r>
      <w:r w:rsidRPr="0040522F">
        <w:lastRenderedPageBreak/>
        <w:t xml:space="preserve">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lastRenderedPageBreak/>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4B5387A2" w:rsidR="00A81E8F" w:rsidRDefault="00A81E8F">
      <w:pPr>
        <w:pStyle w:val="Odstavec1"/>
        <w:numPr>
          <w:ilvl w:val="1"/>
          <w:numId w:val="15"/>
        </w:numPr>
        <w:tabs>
          <w:tab w:val="clear" w:pos="644"/>
        </w:tabs>
        <w:ind w:left="567" w:hanging="567"/>
      </w:pPr>
      <w:del w:id="14" w:author="Staňková Miroslava" w:date="2022-08-18T01:00:00Z">
        <w:r w:rsidDel="00EE441F">
          <w:delText xml:space="preserve">Dopravce bude </w:delText>
        </w:r>
        <w:r w:rsidR="0001251B" w:rsidDel="00EE441F">
          <w:delText>O</w:delText>
        </w:r>
        <w:r w:rsidDel="00EE441F">
          <w:delText>bjednateli průběžně předávat provozní normy přímo související se zajišťováním provozu a přípravou dopravních opatřen</w:delText>
        </w:r>
      </w:del>
      <w:ins w:id="15" w:author="Staňková Miroslava" w:date="2022-08-18T01:00:00Z">
        <w:r w:rsidR="00EE441F">
          <w:t>NEOBSAZENO</w:t>
        </w:r>
      </w:ins>
      <w:r>
        <w:t xml:space="preserve">.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lastRenderedPageBreak/>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 xml:space="preserve">HMP a </w:t>
      </w:r>
      <w:proofErr w:type="spellStart"/>
      <w:r w:rsidR="00CF4E3E">
        <w:t>SčK</w:t>
      </w:r>
      <w:proofErr w:type="spellEnd"/>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lastRenderedPageBreak/>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ins w:id="16" w:author="Staňková Miroslava" w:date="2022-08-09T20:25:00Z">
        <w:r w:rsidR="004A4C17">
          <w:t>em</w:t>
        </w:r>
      </w:ins>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 xml:space="preserve">Předkládá se </w:t>
      </w:r>
      <w:r w:rsidR="00770168">
        <w:lastRenderedPageBreak/>
        <w:t>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lastRenderedPageBreak/>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 xml:space="preserve">na celém území </w:t>
      </w:r>
      <w:proofErr w:type="spellStart"/>
      <w:r w:rsidR="00D4123F">
        <w:t>SčK</w:t>
      </w:r>
      <w:proofErr w:type="spellEnd"/>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 xml:space="preserve">inky pro rozměrnější vozidla, než která Objednatel </w:t>
      </w:r>
      <w:r w:rsidR="0031476E" w:rsidRPr="0031476E">
        <w:rPr>
          <w:szCs w:val="20"/>
        </w:rPr>
        <w:lastRenderedPageBreak/>
        <w:t>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w:t>
      </w:r>
      <w:proofErr w:type="spellStart"/>
      <w:r w:rsidR="00C50F6A">
        <w:t>Mn</w:t>
      </w:r>
      <w:proofErr w:type="spellEnd"/>
      <w:r w:rsidR="00C50F6A">
        <w:t xml:space="preserve">, </w:t>
      </w:r>
      <w:proofErr w:type="spellStart"/>
      <w:r w:rsidR="00C50F6A">
        <w:t>Md</w:t>
      </w:r>
      <w:proofErr w:type="spellEnd"/>
      <w:r w:rsidR="00C50F6A">
        <w:t xml:space="preserve">, </w:t>
      </w:r>
      <w:proofErr w:type="spellStart"/>
      <w:r w:rsidR="00C50F6A">
        <w:t>Md</w:t>
      </w:r>
      <w:proofErr w:type="spellEnd"/>
      <w:r w:rsidR="00C50F6A">
        <w:t xml:space="preserve">+, </w:t>
      </w:r>
      <w:proofErr w:type="spellStart"/>
      <w:r w:rsidR="00C50F6A">
        <w:t>Sd</w:t>
      </w:r>
      <w:proofErr w:type="spellEnd"/>
      <w:r w:rsidR="00C50F6A">
        <w:t xml:space="preserve">, </w:t>
      </w:r>
      <w:proofErr w:type="spellStart"/>
      <w:r w:rsidR="00C50F6A">
        <w:t>Sd</w:t>
      </w:r>
      <w:proofErr w:type="spellEnd"/>
      <w:r w:rsidR="00C50F6A">
        <w:t xml:space="preserve">+, </w:t>
      </w:r>
      <w:proofErr w:type="spellStart"/>
      <w:r w:rsidR="00C50F6A">
        <w:t>Kb</w:t>
      </w:r>
      <w:proofErr w:type="spellEnd"/>
      <w:r w:rsidR="00C50F6A">
        <w:t xml:space="preserve">, </w:t>
      </w:r>
      <w:proofErr w:type="spellStart"/>
      <w:r w:rsidR="00C50F6A">
        <w:t>Kb</w:t>
      </w:r>
      <w:proofErr w:type="spellEnd"/>
      <w:r w:rsidR="00C50F6A">
        <w:t>+)</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lastRenderedPageBreak/>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w:t>
      </w:r>
      <w:proofErr w:type="gramStart"/>
      <w:r w:rsidRPr="00D8431B">
        <w:t>4</w:t>
      </w:r>
      <w:r w:rsidR="006C7B4A" w:rsidRPr="00D8431B">
        <w:t>b</w:t>
      </w:r>
      <w:proofErr w:type="gramEnd"/>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17"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17"/>
      <w:r>
        <w:t xml:space="preserve"> </w:t>
      </w:r>
      <w:bookmarkStart w:id="18"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18"/>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2D42E391"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w:t>
      </w:r>
      <w:del w:id="19" w:author="HAVEL &amp; PARTNERS" w:date="2022-08-19T12:38:00Z">
        <w:r w:rsidR="00A238DC" w:rsidRPr="00A238DC" w:rsidDel="00392011">
          <w:delText xml:space="preserve">odstavcích 1 a 2 </w:delText>
        </w:r>
      </w:del>
      <w:ins w:id="20" w:author="HAVEL &amp; PARTNERS" w:date="2022-08-19T12:38:00Z">
        <w:r w:rsidR="00392011">
          <w:t xml:space="preserve">odstavci 3 </w:t>
        </w:r>
      </w:ins>
      <w:r w:rsidR="00A238DC" w:rsidRPr="00A238DC">
        <w:t xml:space="preserve">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w:t>
      </w:r>
      <w:r w:rsidR="00A238DC" w:rsidRPr="00A238DC">
        <w:lastRenderedPageBreak/>
        <w:t>stanovených v</w:t>
      </w:r>
      <w:del w:id="21" w:author="HAVEL &amp; PARTNERS" w:date="2022-08-19T12:38:00Z">
        <w:r w:rsidR="00A238DC" w:rsidRPr="00A238DC" w:rsidDel="00392011">
          <w:delText xml:space="preserve"> </w:delText>
        </w:r>
      </w:del>
      <w:ins w:id="22" w:author="HAVEL &amp; PARTNERS" w:date="2022-08-19T12:38:00Z">
        <w:r w:rsidR="00392011">
          <w:t xml:space="preserve"> odst. 3 </w:t>
        </w:r>
      </w:ins>
      <w:del w:id="23" w:author="HAVEL &amp; PARTNERS" w:date="2022-08-19T12:38:00Z">
        <w:r w:rsidR="00A238DC" w:rsidRPr="00A238DC" w:rsidDel="00392011">
          <w:delText xml:space="preserve">odstavcích 1 a 2 </w:delText>
        </w:r>
      </w:del>
      <w:r w:rsidR="00A238DC" w:rsidRPr="00A238DC">
        <w:t>tohoto článku předá Objednateli kopii smlouvy s poddodavatelem, která obsahuje jako povinnou část technickou specifikaci poskytovaného vozidla/vozidel 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31FABD62" w:rsidR="00896F79" w:rsidRDefault="00A81E8F">
      <w:pPr>
        <w:pStyle w:val="Odstavec1"/>
        <w:numPr>
          <w:ilvl w:val="1"/>
          <w:numId w:val="19"/>
        </w:numPr>
        <w:tabs>
          <w:tab w:val="clear" w:pos="644"/>
        </w:tabs>
        <w:ind w:left="567" w:hanging="567"/>
      </w:pPr>
      <w:del w:id="24" w:author="HAVEL &amp; PARTNERS" w:date="2022-08-19T12:38:00Z">
        <w:r w:rsidDel="00392011">
          <w:delText>Dopravce je povinen nejpozději ve lhůtách stanovených v </w:delText>
        </w:r>
        <w:r w:rsidRPr="003B5BD7" w:rsidDel="00392011">
          <w:delText>odst</w:delText>
        </w:r>
        <w:r w:rsidR="004F1B17" w:rsidRPr="003B5BD7" w:rsidDel="00392011">
          <w:delText>avcích</w:delText>
        </w:r>
        <w:r w:rsidRPr="003B5BD7" w:rsidDel="00392011">
          <w:delText xml:space="preserve"> 1 a 2</w:delText>
        </w:r>
        <w:r w:rsidDel="00392011">
          <w:delText xml:space="preserve"> tohoto článku předat </w:delText>
        </w:r>
        <w:r w:rsidR="00B66A61" w:rsidDel="00392011">
          <w:delText>O</w:delText>
        </w:r>
        <w:r w:rsidDel="00392011">
          <w:delText xml:space="preserve">bjednateli kopie technických průkazů všech vozidel, která bude pro plnění závazku </w:delText>
        </w:r>
        <w:r w:rsidR="00B21252" w:rsidDel="00392011">
          <w:delText>V</w:delText>
        </w:r>
        <w:r w:rsidDel="00392011">
          <w:delText xml:space="preserve">eřejné služby podle této </w:delText>
        </w:r>
        <w:r w:rsidR="00611DD1" w:rsidDel="00392011">
          <w:delText>S</w:delText>
        </w:r>
        <w:r w:rsidDel="00392011">
          <w:delText xml:space="preserve">mlouvy provozovat. </w:delText>
        </w:r>
      </w:del>
      <w:r>
        <w:t xml:space="preserve">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del w:id="25" w:author="HAVEL &amp; PARTNERS" w:date="2022-08-19T12:39:00Z">
        <w:r w:rsidRPr="003B5BD7" w:rsidDel="00392011">
          <w:delText> </w:delText>
        </w:r>
      </w:del>
      <w:ins w:id="26" w:author="HAVEL &amp; PARTNERS" w:date="2022-08-19T12:39:00Z">
        <w:r w:rsidR="00392011">
          <w:t> tomto odstavci</w:t>
        </w:r>
      </w:ins>
      <w:del w:id="27" w:author="HAVEL &amp; PARTNERS" w:date="2022-08-19T12:38:00Z">
        <w:r w:rsidRPr="003B5BD7" w:rsidDel="00392011">
          <w:delText>odst</w:delText>
        </w:r>
        <w:r w:rsidR="00BD194A" w:rsidRPr="003B5BD7" w:rsidDel="00392011">
          <w:delText>avcích</w:delText>
        </w:r>
        <w:r w:rsidRPr="003B5BD7" w:rsidDel="00392011">
          <w:delText xml:space="preserve"> 1 a 2</w:delText>
        </w:r>
      </w:del>
      <w:del w:id="28" w:author="HAVEL &amp; PARTNERS" w:date="2022-08-19T12:39:00Z">
        <w:r w:rsidRPr="009D5376" w:rsidDel="00392011">
          <w:delText xml:space="preserve"> toho</w:delText>
        </w:r>
        <w:r w:rsidDel="00392011">
          <w:delText>to článku</w:delText>
        </w:r>
      </w:del>
      <w:r>
        <w:t xml:space="preserve">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lastRenderedPageBreak/>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 xml:space="preserve">K </w:t>
      </w:r>
      <w:proofErr w:type="gramStart"/>
      <w:r w:rsidR="003B097A" w:rsidRPr="00C76AAF">
        <w:rPr>
          <w:highlight w:val="yellow"/>
        </w:rPr>
        <w:t>DOPLNĚNÍ</w:t>
      </w:r>
      <w:r w:rsidRPr="00B84623">
        <w:t>- Kč</w:t>
      </w:r>
      <w:proofErr w:type="gramEnd"/>
      <w:r w:rsidRPr="00B84623">
        <w:t xml:space="preserve">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 xml:space="preserve">Krajského úřadu </w:t>
      </w:r>
      <w:proofErr w:type="spellStart"/>
      <w:r w:rsidR="00C76AAF">
        <w:t>SčK</w:t>
      </w:r>
      <w:proofErr w:type="spellEnd"/>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 xml:space="preserve">Objednatelem pověřená externí </w:t>
      </w:r>
      <w:r w:rsidR="00510D8F" w:rsidRPr="00F92EEB">
        <w:lastRenderedPageBreak/>
        <w:t>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w:t>
      </w:r>
      <w:proofErr w:type="gramStart"/>
      <w:r w:rsidR="0084240D" w:rsidRPr="0084240D">
        <w:t>kontroly</w:t>
      </w:r>
      <w:proofErr w:type="gramEnd"/>
      <w:r w:rsidR="0084240D" w:rsidRPr="0084240D">
        <w:t xml:space="preserve">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lastRenderedPageBreak/>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lastRenderedPageBreak/>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w:t>
      </w:r>
      <w:proofErr w:type="spellStart"/>
      <w:r>
        <w:t>SčK</w:t>
      </w:r>
      <w:proofErr w:type="spellEnd"/>
      <w:r>
        <w:t xml:space="preserve">)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w:t>
      </w:r>
      <w:r w:rsidR="00A81E8F" w:rsidRPr="003A33B5">
        <w:lastRenderedPageBreak/>
        <w:t xml:space="preserve">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lastRenderedPageBreak/>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lastRenderedPageBreak/>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w:t>
      </w:r>
      <w:proofErr w:type="gramStart"/>
      <w:r w:rsidR="008E7FAF">
        <w:t>10a</w:t>
      </w:r>
      <w:proofErr w:type="gramEnd"/>
      <w:r w:rsidR="008E7FAF">
        <w:t xml:space="preserve">,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w:t>
      </w:r>
      <w:r w:rsidR="00A0333A" w:rsidRPr="0092186F">
        <w:lastRenderedPageBreak/>
        <w:t xml:space="preserve">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lastRenderedPageBreak/>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proofErr w:type="gramStart"/>
      <w:r w:rsidR="004805A8" w:rsidRPr="004805A8">
        <w:t>)</w:t>
      </w:r>
      <w:r w:rsidR="00AB5F40">
        <w:t>,</w:t>
      </w:r>
      <w:r w:rsidRPr="00E072AC">
        <w:t xml:space="preserve">  ve</w:t>
      </w:r>
      <w:proofErr w:type="gramEnd"/>
      <w:r w:rsidRPr="00E072AC">
        <w:t xml:space="preser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w:t>
      </w:r>
      <w:proofErr w:type="spellStart"/>
      <w:r w:rsidR="00BE0A04">
        <w:t>SčK</w:t>
      </w:r>
      <w:proofErr w:type="spellEnd"/>
      <w:r w:rsidR="005B786A">
        <w:t xml:space="preserve">. </w:t>
      </w:r>
    </w:p>
    <w:p w14:paraId="69777FFC" w14:textId="169D1547" w:rsidR="00EE390E" w:rsidRPr="00EE390E" w:rsidRDefault="005B786A">
      <w:pPr>
        <w:pStyle w:val="Odstavec1"/>
        <w:numPr>
          <w:ilvl w:val="1"/>
          <w:numId w:val="21"/>
        </w:numPr>
        <w:tabs>
          <w:tab w:val="clear" w:pos="644"/>
        </w:tabs>
        <w:ind w:left="567" w:hanging="567"/>
      </w:pPr>
      <w:r>
        <w:t>Neobsazeno</w:t>
      </w:r>
      <w:proofErr w:type="gramStart"/>
      <w:r>
        <w:t xml:space="preserve">. </w:t>
      </w:r>
      <w:r w:rsidR="00EE390E" w:rsidRPr="00EE390E">
        <w:t>.</w:t>
      </w:r>
      <w:proofErr w:type="gramEnd"/>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 xml:space="preserve">Příloha č. 4   Nabídková </w:t>
      </w:r>
      <w:proofErr w:type="gramStart"/>
      <w:r>
        <w:t>cena</w:t>
      </w:r>
      <w:r w:rsidR="00F01711">
        <w:t xml:space="preserve"> </w:t>
      </w:r>
      <w:r w:rsidR="00F01711" w:rsidRPr="008D0B21">
        <w:t>- neveřejná</w:t>
      </w:r>
      <w:proofErr w:type="gramEnd"/>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w:t>
      </w:r>
      <w:proofErr w:type="gramStart"/>
      <w:r w:rsidR="0022706B">
        <w:t>vzor</w:t>
      </w:r>
      <w:r w:rsidR="00F01711">
        <w:t xml:space="preserve"> </w:t>
      </w:r>
      <w:r w:rsidR="00F01711" w:rsidRPr="008D0B21">
        <w:t>- veřejná</w:t>
      </w:r>
      <w:proofErr w:type="gramEnd"/>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 xml:space="preserve">aktualizovaný dodatkem </w:t>
      </w:r>
      <w:r w:rsidR="00552780" w:rsidRPr="00F836F9">
        <w:rPr>
          <w:highlight w:val="yellow"/>
        </w:rPr>
        <w:lastRenderedPageBreak/>
        <w:t>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Příloha č. 10</w:t>
      </w:r>
      <w:proofErr w:type="gramStart"/>
      <w:r>
        <w:t xml:space="preserve">a </w:t>
      </w:r>
      <w:r w:rsidR="00260326" w:rsidRPr="00260326">
        <w:t xml:space="preserve"> </w:t>
      </w:r>
      <w:r w:rsidR="00260326">
        <w:t>Standardy</w:t>
      </w:r>
      <w:proofErr w:type="gramEnd"/>
      <w:r w:rsidR="00260326">
        <w:t xml:space="preserve">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33440890" w14:textId="64A0BC27"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4"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proofErr w:type="gramStart"/>
      <w:r w:rsidR="008C7458">
        <w:rPr>
          <w:szCs w:val="22"/>
        </w:rPr>
        <w:t>TPS</w:t>
      </w:r>
      <w:r w:rsidR="00806591">
        <w:rPr>
          <w:szCs w:val="22"/>
        </w:rPr>
        <w:t>A</w:t>
      </w:r>
      <w:r w:rsidR="00E61607">
        <w:rPr>
          <w:szCs w:val="22"/>
        </w:rPr>
        <w:t xml:space="preserve"> </w:t>
      </w:r>
      <w:r w:rsidR="00E61607" w:rsidRPr="008D0B21">
        <w:t>- veřejná</w:t>
      </w:r>
      <w:proofErr w:type="gramEnd"/>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w:t>
      </w:r>
      <w:proofErr w:type="gramStart"/>
      <w:r>
        <w:rPr>
          <w:bCs/>
        </w:rPr>
        <w:t xml:space="preserve">službách </w:t>
      </w:r>
      <w:r w:rsidR="00E61607" w:rsidRPr="008D0B21">
        <w:t>- veřejná</w:t>
      </w:r>
      <w:proofErr w:type="gramEnd"/>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 xml:space="preserve">o jednotné přepravní kontrole v systému </w:t>
      </w:r>
      <w:proofErr w:type="gramStart"/>
      <w:r>
        <w:rPr>
          <w:bCs/>
          <w:iCs/>
        </w:rPr>
        <w:t>PID</w:t>
      </w:r>
      <w:r w:rsidR="00E61607">
        <w:rPr>
          <w:bCs/>
          <w:iCs/>
        </w:rPr>
        <w:t xml:space="preserve"> </w:t>
      </w:r>
      <w:r w:rsidR="00E61607" w:rsidRPr="008D0B21">
        <w:t>- veřejná</w:t>
      </w:r>
      <w:proofErr w:type="gramEnd"/>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proofErr w:type="gramStart"/>
      <w:r w:rsidR="00220322">
        <w:rPr>
          <w:bCs/>
        </w:rPr>
        <w:t>MOS</w:t>
      </w:r>
      <w:r w:rsidR="00E61607">
        <w:rPr>
          <w:bCs/>
        </w:rPr>
        <w:t xml:space="preserve"> </w:t>
      </w:r>
      <w:r w:rsidR="00E61607" w:rsidRPr="008D0B21">
        <w:t>- veřejná</w:t>
      </w:r>
      <w:proofErr w:type="gramEnd"/>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 xml:space="preserve">vozidlu/vozidlům určeným k odkupu </w:t>
      </w:r>
      <w:proofErr w:type="gramStart"/>
      <w:r>
        <w:t>dopravcem</w:t>
      </w:r>
      <w:r w:rsidR="00E61607">
        <w:t xml:space="preserve"> </w:t>
      </w:r>
      <w:r w:rsidR="00E61607" w:rsidRPr="008D0B21">
        <w:t>- neveř</w:t>
      </w:r>
      <w:r w:rsidR="00E61607">
        <w:t>e</w:t>
      </w:r>
      <w:r w:rsidR="00E61607" w:rsidRPr="008D0B21">
        <w:t>jná</w:t>
      </w:r>
      <w:proofErr w:type="gramEnd"/>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 xml:space="preserve">Seznam kontaktů smluvních </w:t>
      </w:r>
      <w:proofErr w:type="gramStart"/>
      <w:r w:rsidR="009C7BED">
        <w:t>stran</w:t>
      </w:r>
      <w:r w:rsidR="00E61607">
        <w:t xml:space="preserve"> </w:t>
      </w:r>
      <w:r w:rsidR="00E61607" w:rsidRPr="008D0B21">
        <w:t>- neveřejná</w:t>
      </w:r>
      <w:proofErr w:type="gramEnd"/>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w:t>
      </w:r>
      <w:proofErr w:type="gramStart"/>
      <w:r>
        <w:t>období</w:t>
      </w:r>
      <w:r w:rsidR="0080392B">
        <w:t xml:space="preserve"> </w:t>
      </w:r>
      <w:r w:rsidR="00E02AE1">
        <w:t>-</w:t>
      </w:r>
      <w:r w:rsidR="0080392B">
        <w:t xml:space="preserve"> struktura</w:t>
      </w:r>
      <w:proofErr w:type="gramEnd"/>
      <w:r w:rsidR="0080392B">
        <w:t xml:space="preserve">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w:t>
      </w:r>
      <w:proofErr w:type="gramStart"/>
      <w:r>
        <w:t xml:space="preserve">dopravcem </w:t>
      </w:r>
      <w:r w:rsidR="00E02AE1">
        <w:t>-</w:t>
      </w:r>
      <w:r w:rsidRPr="008D0B21">
        <w:t xml:space="preserve"> veřejná</w:t>
      </w:r>
      <w:proofErr w:type="gramEnd"/>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091A" w14:textId="77777777" w:rsidR="0041716F" w:rsidRDefault="0041716F">
      <w:r>
        <w:separator/>
      </w:r>
    </w:p>
  </w:endnote>
  <w:endnote w:type="continuationSeparator" w:id="0">
    <w:p w14:paraId="4F71AA2E" w14:textId="77777777" w:rsidR="0041716F" w:rsidRDefault="0041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4BAF797D"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24BAC">
      <w:rPr>
        <w:rStyle w:val="slostrnky"/>
        <w:noProof/>
      </w:rPr>
      <w:t>22</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5CCE" w14:textId="77777777" w:rsidR="0041716F" w:rsidRDefault="0041716F">
      <w:r>
        <w:separator/>
      </w:r>
    </w:p>
  </w:footnote>
  <w:footnote w:type="continuationSeparator" w:id="0">
    <w:p w14:paraId="110BB256" w14:textId="77777777" w:rsidR="0041716F" w:rsidRDefault="0041716F">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907908117">
    <w:abstractNumId w:val="11"/>
  </w:num>
  <w:num w:numId="2" w16cid:durableId="1123888749">
    <w:abstractNumId w:val="3"/>
  </w:num>
  <w:num w:numId="3" w16cid:durableId="1678728569">
    <w:abstractNumId w:val="10"/>
  </w:num>
  <w:num w:numId="4" w16cid:durableId="1639142191">
    <w:abstractNumId w:val="16"/>
  </w:num>
  <w:num w:numId="5" w16cid:durableId="1813793050">
    <w:abstractNumId w:val="9"/>
  </w:num>
  <w:num w:numId="6" w16cid:durableId="1746485790">
    <w:abstractNumId w:val="0"/>
  </w:num>
  <w:num w:numId="7" w16cid:durableId="534774466">
    <w:abstractNumId w:val="12"/>
  </w:num>
  <w:num w:numId="8" w16cid:durableId="450053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793449">
    <w:abstractNumId w:val="8"/>
  </w:num>
  <w:num w:numId="10" w16cid:durableId="827862087">
    <w:abstractNumId w:val="4"/>
  </w:num>
  <w:num w:numId="11" w16cid:durableId="1722051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6134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7159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221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0202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071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398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1274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7372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9438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5720359">
    <w:abstractNumId w:val="7"/>
  </w:num>
  <w:num w:numId="23" w16cid:durableId="427241847">
    <w:abstractNumId w:val="6"/>
  </w:num>
  <w:num w:numId="24" w16cid:durableId="927157361">
    <w:abstractNumId w:val="14"/>
  </w:num>
  <w:num w:numId="25" w16cid:durableId="1913080677">
    <w:abstractNumId w:val="15"/>
  </w:num>
  <w:num w:numId="26" w16cid:durableId="729496955">
    <w:abstractNumId w:val="2"/>
  </w:num>
  <w:num w:numId="27" w16cid:durableId="1258515578">
    <w:abstractNumId w:val="19"/>
  </w:num>
  <w:num w:numId="28" w16cid:durableId="690108474">
    <w:abstractNumId w:val="18"/>
  </w:num>
  <w:num w:numId="29" w16cid:durableId="1398093061">
    <w:abstractNumId w:val="1"/>
  </w:num>
  <w:num w:numId="30" w16cid:durableId="499856311">
    <w:abstractNumId w:val="17"/>
  </w:num>
  <w:num w:numId="31" w16cid:durableId="670134749">
    <w:abstractNumId w:val="13"/>
  </w:num>
  <w:num w:numId="32" w16cid:durableId="166016335">
    <w:abstractNumId w:val="5"/>
  </w:num>
  <w:num w:numId="33" w16cid:durableId="29715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ňková Miroslava">
    <w15:presenceInfo w15:providerId="AD" w15:userId="S-1-5-21-467940327-1450668483-1850952788-1041"/>
  </w15:person>
  <w15:person w15:author="Vít Baťa">
    <w15:presenceInfo w15:providerId="AD" w15:userId="S::bata@akfiala.cz::5b26cf92-855e-4c0a-81bf-aff32829f148"/>
  </w15:person>
  <w15:person w15:author="HAVEL &amp; PARTNERS">
    <w15:presenceInfo w15:providerId="None" w15:userId="HAVEL &amp; PARTN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037"/>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011"/>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1716F"/>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4BAC"/>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2EAE"/>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72E"/>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4393"/>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1F"/>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88A3-201B-41B0-B077-BD9BD823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32081</Words>
  <Characters>189281</Characters>
  <Application>Microsoft Office Word</Application>
  <DocSecurity>0</DocSecurity>
  <Lines>1577</Lines>
  <Paragraphs>441</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220921</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Vít Baťa</cp:lastModifiedBy>
  <cp:revision>3</cp:revision>
  <cp:lastPrinted>2022-06-27T14:53:00Z</cp:lastPrinted>
  <dcterms:created xsi:type="dcterms:W3CDTF">2022-08-19T10:40:00Z</dcterms:created>
  <dcterms:modified xsi:type="dcterms:W3CDTF">2022-08-19T10:58:00Z</dcterms:modified>
</cp:coreProperties>
</file>