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55E7A529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F11484" w:rsidRPr="00F11484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A5 – </w:t>
      </w:r>
      <w:proofErr w:type="spellStart"/>
      <w:r w:rsidR="00F11484" w:rsidRPr="00F11484">
        <w:rPr>
          <w:rFonts w:ascii="Calibri" w:hAnsi="Calibri"/>
          <w:b/>
          <w:bCs/>
          <w:sz w:val="22"/>
          <w:lang w:bidi="en-US"/>
        </w:rPr>
        <w:t>Mnichovohradišťsko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0B961" w14:textId="77777777" w:rsidR="0085589B" w:rsidRDefault="0085589B">
      <w:r>
        <w:separator/>
      </w:r>
    </w:p>
  </w:endnote>
  <w:endnote w:type="continuationSeparator" w:id="0">
    <w:p w14:paraId="346858E7" w14:textId="77777777" w:rsidR="0085589B" w:rsidRDefault="0085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F058" w14:textId="77777777" w:rsidR="0085589B" w:rsidRDefault="0085589B">
      <w:r>
        <w:separator/>
      </w:r>
    </w:p>
  </w:footnote>
  <w:footnote w:type="continuationSeparator" w:id="0">
    <w:p w14:paraId="46522B5F" w14:textId="77777777" w:rsidR="0085589B" w:rsidRDefault="00855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89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484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2022-07-15T09:33:00Z</dcterms:modified>
</cp:coreProperties>
</file>